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sz w:val="22"/>
          <w:szCs w:val="22"/>
        </w:rPr>
      </w:pPr>
      <w:r>
        <w:rPr>
          <w:rFonts w:cs="Arial" w:ascii="Verdana" w:hAnsi="Verdana"/>
          <w:b/>
          <w:bCs/>
          <w:smallCaps/>
          <w:color w:val="000000"/>
          <w:sz w:val="22"/>
          <w:szCs w:val="22"/>
        </w:rPr>
        <w:t xml:space="preserve">EDITAL </w:t>
      </w:r>
    </w:p>
    <w:p>
      <w:pPr>
        <w:pStyle w:val="Normal"/>
        <w:spacing w:lineRule="auto" w:line="276"/>
        <w:jc w:val="center"/>
        <w:rPr>
          <w:sz w:val="22"/>
          <w:szCs w:val="22"/>
        </w:rPr>
      </w:pPr>
      <w:r>
        <w:rPr>
          <w:rFonts w:cs="Arial" w:ascii="Verdana" w:hAnsi="Verdana"/>
          <w:b/>
          <w:bCs/>
          <w:smallCaps/>
          <w:color w:val="000000"/>
          <w:sz w:val="22"/>
          <w:szCs w:val="22"/>
        </w:rPr>
        <w:t>PREGÃO ELETRÔNICO Nº 018/2025</w:t>
      </w:r>
    </w:p>
    <w:p>
      <w:pPr>
        <w:pStyle w:val="Normal"/>
        <w:spacing w:lineRule="auto" w:line="276"/>
        <w:jc w:val="center"/>
        <w:rPr>
          <w:sz w:val="26"/>
          <w:szCs w:val="26"/>
        </w:rPr>
      </w:pPr>
      <w:r>
        <w:rPr>
          <w:rFonts w:cs="Arial" w:ascii="Verdana" w:hAnsi="Verdana"/>
          <w:b/>
          <w:bCs/>
          <w:smallCaps/>
          <w:color w:val="000000"/>
          <w:sz w:val="26"/>
          <w:szCs w:val="26"/>
        </w:rPr>
        <w:t>(Processo Administrativo n° 01771/2025 de 10/03/2025)</w:t>
      </w:r>
    </w:p>
    <w:p>
      <w:pPr>
        <w:pStyle w:val="Normal"/>
        <w:spacing w:lineRule="auto" w:line="276"/>
        <w:jc w:val="center"/>
        <w:rPr>
          <w:sz w:val="20"/>
          <w:szCs w:val="20"/>
        </w:rPr>
      </w:pPr>
      <w:r>
        <w:rPr>
          <w:sz w:val="20"/>
          <w:szCs w:val="20"/>
        </w:rPr>
      </w:r>
    </w:p>
    <w:p>
      <w:pPr>
        <w:pStyle w:val="BodyText"/>
        <w:spacing w:lineRule="auto" w:line="276" w:before="57" w:after="57"/>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spacing w:lineRule="auto" w:line="276" w:before="57" w:after="57"/>
        <w:jc w:val="both"/>
        <w:rPr>
          <w:rFonts w:ascii="Verdana" w:hAnsi="Verdana" w:cs="Arial"/>
          <w:b/>
          <w:bCs/>
          <w:color w:val="000000"/>
          <w:sz w:val="20"/>
          <w:szCs w:val="20"/>
        </w:rPr>
      </w:pPr>
      <w:r>
        <w:rPr>
          <w:rFonts w:cs="Arial" w:ascii="Verdana" w:hAnsi="Verdana"/>
          <w:b/>
          <w:bCs/>
          <w:color w:val="000000"/>
          <w:sz w:val="20"/>
          <w:szCs w:val="20"/>
        </w:rPr>
      </w:r>
    </w:p>
    <w:p>
      <w:pPr>
        <w:pStyle w:val="Normal"/>
        <w:spacing w:lineRule="auto" w:line="276" w:before="57" w:after="57"/>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14/05</w:t>
      </w:r>
      <w:r>
        <w:rPr>
          <w:rFonts w:cs="Arial" w:ascii="Verdana" w:hAnsi="Verdana"/>
          <w:b/>
          <w:bCs/>
          <w:color w:val="000000"/>
          <w:sz w:val="20"/>
          <w:szCs w:val="20"/>
        </w:rPr>
        <w:t>/2025.</w:t>
      </w:r>
    </w:p>
    <w:p>
      <w:pPr>
        <w:pStyle w:val="Normal"/>
        <w:spacing w:lineRule="auto" w:line="276"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13</w:t>
      </w:r>
      <w:r>
        <w:rPr>
          <w:rFonts w:cs="Arial" w:ascii="Verdana" w:hAnsi="Verdana"/>
          <w:b/>
          <w:bCs/>
          <w:color w:val="000000"/>
          <w:sz w:val="20"/>
          <w:szCs w:val="20"/>
        </w:rPr>
        <w:t>h00min.</w:t>
      </w:r>
    </w:p>
    <w:p>
      <w:pPr>
        <w:pStyle w:val="Normal"/>
        <w:spacing w:lineRule="auto" w:line="276" w:before="57" w:after="57"/>
        <w:rPr>
          <w:rFonts w:ascii="Verdana" w:hAnsi="Verdana" w:cs="Arial"/>
          <w:b/>
          <w:bCs/>
          <w:color w:val="000000"/>
          <w:sz w:val="20"/>
          <w:szCs w:val="20"/>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lineRule="auto" w:line="276" w:before="57" w:after="57"/>
        <w:rPr>
          <w:rFonts w:ascii="Verdana" w:hAnsi="Verdana"/>
          <w:b/>
          <w:bCs/>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spacing w:lineRule="auto" w:line="276" w:before="57" w:after="57"/>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rFonts w:ascii="Verdana" w:hAnsi="Verdana"/>
        </w:rPr>
      </w:pPr>
      <w:r>
        <w:rPr>
          <w:rFonts w:cs="Arial" w:ascii="Verdana" w:hAnsi="Verdana"/>
        </w:rPr>
        <w:t>DO OBJETO</w:t>
      </w:r>
    </w:p>
    <w:p>
      <w:pPr>
        <w:pStyle w:val="ListParagraph"/>
        <w:spacing w:lineRule="auto" w:line="276" w:before="57" w:after="57"/>
        <w:ind w:hanging="0" w:left="0"/>
        <w:contextualSpacing w:val="false"/>
        <w:jc w:val="both"/>
        <w:rPr>
          <w:rFonts w:ascii="Verdana" w:hAnsi="Verdana"/>
          <w:sz w:val="20"/>
          <w:szCs w:val="20"/>
        </w:rPr>
      </w:pPr>
      <w:r>
        <w:rPr>
          <w:rFonts w:cs="Arial" w:ascii="Verdana" w:hAnsi="Verdana"/>
          <w:color w:val="000000"/>
          <w:sz w:val="20"/>
          <w:szCs w:val="20"/>
        </w:rPr>
        <w:t xml:space="preserve">1.1 O objeto da presente licitação é a </w:t>
      </w:r>
      <w:bookmarkStart w:id="1" w:name="_Hlk162947020"/>
      <w:r>
        <w:rPr>
          <w:rFonts w:eastAsia="Batang;바탕" w:cs="Arial" w:ascii="Verdana" w:hAnsi="Verdana"/>
          <w:b/>
          <w:i/>
          <w:iCs/>
          <w:sz w:val="20"/>
          <w:szCs w:val="20"/>
        </w:rPr>
        <w:t>Constituição de Ata de Registro de Preços,</w:t>
      </w:r>
      <w:r>
        <w:rPr>
          <w:rFonts w:eastAsia="Batang;바탕" w:cs="Arial" w:ascii="Verdana" w:hAnsi="Verdana"/>
          <w:iCs/>
          <w:sz w:val="20"/>
          <w:szCs w:val="20"/>
        </w:rPr>
        <w:t xml:space="preserve"> </w:t>
      </w:r>
      <w:bookmarkEnd w:id="1"/>
      <w:r>
        <w:rPr>
          <w:rFonts w:eastAsia="Batang;바탕" w:cs="Arial" w:ascii="Verdana" w:hAnsi="Verdana"/>
          <w:iCs/>
          <w:sz w:val="20"/>
          <w:szCs w:val="20"/>
        </w:rPr>
        <w:t xml:space="preserve">para futura e eventual </w:t>
      </w:r>
      <w:r>
        <w:rPr>
          <w:rFonts w:ascii="Verdana" w:hAnsi="Verdana"/>
          <w:iCs/>
          <w:sz w:val="20"/>
          <w:szCs w:val="20"/>
        </w:rPr>
        <w:t xml:space="preserve">aquisição de materiais permanentes para as unidades escolares e Secretaria Municipal de Educação, para atendimento da Secretaria Municipal de Educação, </w:t>
      </w:r>
      <w:r>
        <w:rPr>
          <w:rFonts w:eastAsia="Batang;바탕" w:cs="Arial" w:ascii="Verdana" w:hAnsi="Verdana"/>
          <w:color w:val="000000"/>
          <w:kern w:val="2"/>
          <w:sz w:val="20"/>
          <w:szCs w:val="20"/>
          <w:lang w:eastAsia="en-US" w:bidi="pt-BR"/>
        </w:rPr>
        <w:t>conforme c</w:t>
      </w:r>
      <w:r>
        <w:rPr>
          <w:rFonts w:cs="Arial" w:ascii="Verdana" w:hAnsi="Verdana"/>
          <w:sz w:val="20"/>
          <w:szCs w:val="20"/>
        </w:rPr>
        <w:t>ondições, quantidades e exigências estabelecidas neste Edital e seus anexos.</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1.2 A licitação será dividida em itens, conforme tabela constante no ANEXO II – Modelo Orientativo de Proposta,</w:t>
      </w:r>
      <w:r>
        <w:rPr>
          <w:rFonts w:cs="Arial" w:ascii="Verdana" w:hAnsi="Verdana"/>
          <w:b/>
          <w:iCs/>
          <w:color w:themeColor="text1" w:val="000000"/>
          <w:sz w:val="20"/>
          <w:szCs w:val="20"/>
        </w:rPr>
        <w:t xml:space="preserve"> </w:t>
      </w:r>
      <w:r>
        <w:rPr>
          <w:rFonts w:ascii="Verdana" w:hAnsi="Verdana"/>
          <w:sz w:val="20"/>
          <w:szCs w:val="20"/>
        </w:rPr>
        <w:t>facultando-se ao licitante a participação em quantos itens forem de seu interesse.</w:t>
      </w:r>
      <w:r>
        <w:rPr>
          <w:rFonts w:cs="Arial" w:ascii="Verdana" w:hAnsi="Verdana"/>
          <w:b/>
          <w:iCs/>
          <w:color w:themeColor="text1" w:val="000000"/>
          <w:sz w:val="20"/>
          <w:szCs w:val="20"/>
        </w:rPr>
        <w:t xml:space="preserve"> </w:t>
      </w:r>
    </w:p>
    <w:p>
      <w:pPr>
        <w:pStyle w:val="Normal"/>
        <w:spacing w:lineRule="auto" w:line="276" w:before="57" w:after="57"/>
        <w:jc w:val="both"/>
        <w:rPr>
          <w:rFonts w:ascii="Verdana" w:hAnsi="Verdana"/>
          <w:sz w:val="20"/>
          <w:szCs w:val="20"/>
        </w:rPr>
      </w:pPr>
      <w:r>
        <w:rPr>
          <w:rFonts w:cs="Arial" w:ascii="Verdana" w:hAnsi="Verdana"/>
          <w:iCs/>
          <w:color w:themeColor="text1" w:val="000000"/>
          <w:sz w:val="20"/>
          <w:szCs w:val="20"/>
        </w:rPr>
        <w:t>1.3 O critério de julgamento adotado será o menor preço por item, observadas as exigências contidas neste Edital e seus Anexos quanto às especificações do objeto.</w:t>
      </w:r>
    </w:p>
    <w:p>
      <w:pPr>
        <w:pStyle w:val="Normal"/>
        <w:spacing w:lineRule="auto" w:line="276" w:before="57" w:after="57"/>
        <w:jc w:val="both"/>
        <w:rPr>
          <w:rFonts w:ascii="Verdana" w:hAnsi="Verdana" w:cs="Arial"/>
          <w:iCs/>
          <w:color w:themeColor="text1" w:val="000000"/>
          <w:sz w:val="20"/>
          <w:szCs w:val="20"/>
          <w:shd w:fill="FFFF00" w:val="clear"/>
        </w:rPr>
      </w:pPr>
      <w:r>
        <w:rPr>
          <w:rFonts w:cs="Arial" w:ascii="Verdana" w:hAnsi="Verdana"/>
          <w:iCs/>
          <w:color w:themeColor="text1" w:val="000000"/>
          <w:sz w:val="20"/>
          <w:szCs w:val="20"/>
          <w:shd w:fill="FFFF00" w:val="clear"/>
        </w:rPr>
        <w:t xml:space="preserve">a) A licitação ocorrerá com exclusividade para microempresas ou empresas de pequeno porte, visto que seus valores estimados se encontram dentro do limite de exclusividade previsto, ou então ter havido reserva de cota de exclusividade, tudo conforme, incisos I e III do art. 48 da Lei 123/2006 consolidada. </w:t>
      </w:r>
    </w:p>
    <w:p>
      <w:pPr>
        <w:pStyle w:val="Normal"/>
        <w:tabs>
          <w:tab w:val="clear" w:pos="708"/>
          <w:tab w:val="left" w:pos="-709" w:leader="none"/>
          <w:tab w:val="left" w:pos="-414" w:leader="none"/>
          <w:tab w:val="left" w:pos="306" w:leader="none"/>
          <w:tab w:val="left" w:pos="570" w:leader="none"/>
          <w:tab w:val="left" w:pos="1926" w:leader="none"/>
          <w:tab w:val="left" w:pos="2466" w:leader="none"/>
          <w:tab w:val="left" w:pos="2886" w:leader="none"/>
          <w:tab w:val="left" w:pos="3906" w:leader="none"/>
          <w:tab w:val="left" w:pos="4626" w:leader="none"/>
          <w:tab w:val="left" w:pos="5346" w:leader="none"/>
          <w:tab w:val="left" w:pos="6786" w:leader="none"/>
          <w:tab w:val="left" w:pos="7506" w:leader="none"/>
          <w:tab w:val="left" w:pos="8226" w:leader="none"/>
          <w:tab w:val="left" w:pos="8946" w:leader="none"/>
          <w:tab w:val="left" w:pos="9666"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DO REGISTRO DE PREÇOS </w:t>
      </w:r>
    </w:p>
    <w:p>
      <w:pPr>
        <w:pStyle w:val="Normal"/>
        <w:spacing w:lineRule="auto" w:line="276" w:before="57" w:after="57"/>
        <w:jc w:val="both"/>
        <w:rPr/>
      </w:pPr>
      <w:r>
        <w:rPr>
          <w:rFonts w:cs="Arial" w:ascii="Verdana" w:hAnsi="Verdana"/>
          <w:color w:val="000000"/>
          <w:sz w:val="20"/>
          <w:szCs w:val="20"/>
        </w:rPr>
        <w:t>2.1 As regras referentes ao órgão gerenciador são as que constam da minuta de Ata de Registro de Preços.</w:t>
      </w:r>
    </w:p>
    <w:p>
      <w:pPr>
        <w:pStyle w:val="Normal"/>
        <w:spacing w:lineRule="auto" w:line="276" w:before="57" w:after="57"/>
        <w:jc w:val="both"/>
        <w:rPr>
          <w:rFonts w:ascii="Verdana" w:hAnsi="Verdana" w:cs="Arial"/>
          <w:color w:val="000000"/>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ormal"/>
        <w:spacing w:lineRule="auto" w:line="276"/>
        <w:jc w:val="both"/>
        <w:rPr/>
      </w:pPr>
      <w:r>
        <w:rPr/>
      </w:r>
    </w:p>
    <w:p>
      <w:pPr>
        <w:pStyle w:val="Nivel01"/>
        <w:numPr>
          <w:ilvl w:val="0"/>
          <w:numId w:val="2"/>
        </w:numPr>
        <w:spacing w:lineRule="auto" w:line="276" w:before="57" w:after="57"/>
        <w:ind w:hanging="0" w:left="0"/>
        <w:rPr/>
      </w:pPr>
      <w:r>
        <w:rPr>
          <w:rFonts w:cs="Arial" w:ascii="Verdana" w:hAnsi="Verdana"/>
        </w:rPr>
        <w:t>DO CREDENCIAMENTO</w:t>
      </w:r>
    </w:p>
    <w:p>
      <w:pPr>
        <w:pStyle w:val="Default"/>
        <w:spacing w:lineRule="auto" w:line="276" w:before="57" w:after="57"/>
        <w:jc w:val="both"/>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spacing w:lineRule="auto" w:line="276" w:before="57" w:after="57"/>
        <w:jc w:val="both"/>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spacing w:lineRule="auto" w:line="276" w:before="57" w:after="57"/>
        <w:jc w:val="both"/>
        <w:rPr/>
      </w:pPr>
      <w:r>
        <w:rPr>
          <w:rFonts w:ascii="Verdana" w:hAnsi="Verdana"/>
          <w:sz w:val="20"/>
          <w:szCs w:val="20"/>
        </w:rPr>
        <w:t xml:space="preserve">3.3. É de exclusiva responsabilidade do usuário o sigilo da senha, bem como seu uso em qualquer transação efetuada. </w:t>
      </w:r>
    </w:p>
    <w:p>
      <w:pPr>
        <w:pStyle w:val="Default"/>
        <w:spacing w:lineRule="auto" w:line="276" w:before="57" w:after="57"/>
        <w:jc w:val="both"/>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pPr>
        <w:pStyle w:val="Default"/>
        <w:spacing w:lineRule="auto" w:line="276" w:before="57" w:after="57"/>
        <w:jc w:val="both"/>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spacing w:lineRule="auto" w:line="276" w:before="57" w:after="57"/>
        <w:jc w:val="both"/>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DA PARTICIPAÇÃO NO PREGÃO.</w:t>
      </w:r>
    </w:p>
    <w:p>
      <w:pPr>
        <w:pStyle w:val="Normal"/>
        <w:spacing w:lineRule="auto" w:line="276" w:before="57" w:after="57"/>
        <w:jc w:val="both"/>
        <w:rPr>
          <w:rFonts w:ascii="Verdana" w:hAnsi="Verdana" w:cs="Arial"/>
          <w:iCs/>
          <w:color w:val="000000"/>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r>
        <w:rPr>
          <w:rFonts w:cs="Arial" w:ascii="Verdana" w:hAnsi="Verdana"/>
          <w:iCs/>
          <w:color w:val="000000"/>
          <w:sz w:val="20"/>
          <w:szCs w:val="20"/>
        </w:rPr>
        <w:t xml:space="preserve"> </w:t>
      </w:r>
    </w:p>
    <w:p>
      <w:pPr>
        <w:pStyle w:val="Normal"/>
        <w:spacing w:lineRule="auto" w:line="276" w:before="57" w:after="57"/>
        <w:jc w:val="both"/>
        <w:rPr/>
      </w:pPr>
      <w:r>
        <w:rPr>
          <w:rFonts w:cs="Arial" w:ascii="Verdana" w:hAnsi="Verdana"/>
          <w:iCs/>
          <w:color w:val="000000"/>
          <w:sz w:val="20"/>
          <w:szCs w:val="20"/>
        </w:rPr>
        <w:t xml:space="preserve">4.1.1 </w:t>
      </w:r>
      <w:r>
        <w:rPr>
          <w:rFonts w:cs="Arial" w:ascii="Verdana" w:hAnsi="Verdana"/>
          <w:bCs/>
          <w:iCs/>
          <w:color w:val="000000"/>
          <w:sz w:val="20"/>
          <w:szCs w:val="20"/>
        </w:rPr>
        <w:t>Poderão participar da licitação</w:t>
      </w:r>
      <w:r>
        <w:rPr>
          <w:rFonts w:cs="Arial" w:ascii="Verdana" w:hAnsi="Verdana"/>
          <w:b/>
          <w:bCs/>
          <w:iCs/>
          <w:color w:val="000000"/>
          <w:sz w:val="20"/>
          <w:szCs w:val="20"/>
        </w:rPr>
        <w:t xml:space="preserve"> </w:t>
      </w:r>
      <w:r>
        <w:rPr>
          <w:rFonts w:cs="Arial" w:ascii="Verdana" w:hAnsi="Verdana"/>
          <w:bCs/>
          <w:iCs/>
          <w:color w:val="000000"/>
          <w:sz w:val="20"/>
          <w:szCs w:val="20"/>
        </w:rPr>
        <w:t>as empresas interessadas</w:t>
      </w:r>
      <w:r>
        <w:rPr>
          <w:rFonts w:cs="Arial" w:ascii="Verdana" w:hAnsi="Verdana"/>
          <w:color w:val="000000"/>
          <w:sz w:val="20"/>
          <w:szCs w:val="20"/>
        </w:rPr>
        <w:t>,</w:t>
      </w:r>
      <w:r>
        <w:rPr>
          <w:rFonts w:cs="Arial" w:ascii="Verdana" w:hAnsi="Verdana"/>
          <w:b/>
          <w:bCs/>
          <w:i/>
          <w:color w:val="000000"/>
          <w:sz w:val="20"/>
          <w:szCs w:val="20"/>
        </w:rPr>
        <w:t xml:space="preserve"> </w:t>
      </w:r>
      <w:r>
        <w:rPr>
          <w:rFonts w:cs="Arial" w:ascii="Verdana" w:hAnsi="Verdana"/>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3">
        <w:r>
          <w:rPr>
            <w:rStyle w:val="Hyperlink"/>
            <w:rFonts w:cs="Arial" w:ascii="Verdana" w:hAnsi="Verdana"/>
            <w:b/>
            <w:bCs/>
            <w:i/>
            <w:iCs/>
            <w:sz w:val="20"/>
            <w:szCs w:val="20"/>
          </w:rPr>
          <w:t>www.portaldecompraspublicas.com.br</w:t>
        </w:r>
      </w:hyperlink>
      <w:r>
        <w:rPr>
          <w:rStyle w:val="InternetLink1"/>
          <w:rFonts w:cs="Arial" w:ascii="Verdana" w:hAnsi="Verdana"/>
          <w:b/>
          <w:bCs/>
          <w:iCs/>
          <w:sz w:val="20"/>
          <w:szCs w:val="20"/>
        </w:rPr>
        <w:t>.</w:t>
      </w:r>
    </w:p>
    <w:p>
      <w:pPr>
        <w:pStyle w:val="Normal"/>
        <w:spacing w:lineRule="auto" w:line="276" w:before="57" w:after="57"/>
        <w:jc w:val="both"/>
        <w:rPr>
          <w:b/>
          <w:bCs/>
          <w:shd w:fill="FFFF00" w:val="clear"/>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spacing w:lineRule="auto" w:line="276" w:before="57" w:after="57"/>
        <w:jc w:val="both"/>
        <w:rPr/>
      </w:pPr>
      <w:r>
        <w:rPr>
          <w:rFonts w:cs="Arial" w:ascii="Verdana" w:hAnsi="Verdana"/>
          <w:iCs/>
          <w:color w:val="000000"/>
          <w:sz w:val="20"/>
          <w:szCs w:val="20"/>
        </w:rPr>
        <w:t xml:space="preserve">4.2.1 </w:t>
      </w:r>
      <w:r>
        <w:rPr>
          <w:rStyle w:val="InternetLink1"/>
          <w:rFonts w:cs="Arial" w:ascii="Verdana" w:hAnsi="Verdana"/>
          <w:iCs/>
          <w:color w:val="auto"/>
          <w:sz w:val="20"/>
          <w:szCs w:val="20"/>
          <w:u w:val="none"/>
        </w:rPr>
        <w:t>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napToGrid w:val="false"/>
        <w:spacing w:lineRule="auto" w:line="276" w:before="57" w:after="57"/>
        <w:jc w:val="both"/>
        <w:rPr>
          <w:rFonts w:ascii="Verdana" w:hAnsi="Verdana" w:cs="Arial"/>
          <w:bCs/>
          <w:color w:val="000000"/>
          <w:sz w:val="20"/>
          <w:szCs w:val="20"/>
        </w:rPr>
      </w:pPr>
      <w:r>
        <w:rPr>
          <w:rStyle w:val="InternetLink1"/>
          <w:rFonts w:cs="Arial" w:ascii="Verdana" w:hAnsi="Verdana"/>
          <w:iCs/>
          <w:color w:val="auto"/>
          <w:sz w:val="20"/>
          <w:szCs w:val="20"/>
          <w:u w:val="none"/>
        </w:rPr>
        <w:t xml:space="preserve">4.2.2 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u w:val="none"/>
        </w:rPr>
        <w:t xml:space="preserve">todas as certidões relativas a regularidade fiscal, mesmo que contenham alguma restrição, e ainda, a </w:t>
      </w:r>
      <w:r>
        <w:rPr>
          <w:rStyle w:val="InternetLink1"/>
          <w:rFonts w:cs="Arial" w:ascii="Verdana" w:hAnsi="Verdana"/>
          <w:b/>
          <w:bCs/>
          <w:iCs/>
          <w:color w:val="auto"/>
          <w:sz w:val="20"/>
          <w:szCs w:val="20"/>
          <w:highlight w:val="yellow"/>
          <w:u w:val="none"/>
        </w:rPr>
        <w:t>CERTIDÃO EXPEDIDA PELA JUNTA COMERCIAL DA REGIÃO SEDE DA EMPRESA</w:t>
      </w:r>
      <w:r>
        <w:rPr>
          <w:rStyle w:val="InternetLink1"/>
          <w:rFonts w:cs="Arial" w:ascii="Verdana" w:hAnsi="Verdana"/>
          <w:b/>
          <w:bCs/>
          <w:iCs/>
          <w:color w:val="auto"/>
          <w:sz w:val="20"/>
          <w:szCs w:val="20"/>
          <w:u w:val="none"/>
        </w:rPr>
        <w:t>,</w:t>
      </w:r>
      <w:r>
        <w:rPr>
          <w:rStyle w:val="InternetLink1"/>
          <w:rFonts w:cs="Arial" w:ascii="Verdana" w:hAnsi="Verdana"/>
          <w:iCs/>
          <w:color w:val="auto"/>
          <w:sz w:val="20"/>
          <w:szCs w:val="20"/>
          <w:u w:val="none"/>
        </w:rPr>
        <w:t xml:space="preserve"> demonstrando a situação de enquadramento, </w:t>
      </w:r>
      <w:r>
        <w:rPr>
          <w:rStyle w:val="InternetLink1"/>
          <w:rFonts w:cs="Arial" w:ascii="Verdana" w:hAnsi="Verdana"/>
          <w:b/>
          <w:bCs/>
          <w:iCs/>
          <w:color w:val="auto"/>
          <w:sz w:val="20"/>
          <w:szCs w:val="20"/>
          <w:highlight w:val="yellow"/>
          <w:u w:val="none"/>
        </w:rPr>
        <w:t xml:space="preserve">emitida a partir do ano de </w:t>
      </w:r>
      <w:r>
        <w:rPr>
          <w:rStyle w:val="InternetLink1"/>
          <w:rFonts w:cs="Arial" w:ascii="Verdana" w:hAnsi="Verdana"/>
          <w:b/>
          <w:bCs/>
          <w:iCs/>
          <w:color w:val="FF0000"/>
          <w:sz w:val="20"/>
          <w:szCs w:val="20"/>
          <w:highlight w:val="yellow"/>
          <w:u w:val="none"/>
        </w:rPr>
        <w:t>2025</w:t>
      </w:r>
      <w:r>
        <w:rPr>
          <w:rStyle w:val="InternetLink1"/>
          <w:rFonts w:cs="Arial" w:ascii="Verdana" w:hAnsi="Verdana"/>
          <w:iCs/>
          <w:color w:val="auto"/>
          <w:sz w:val="20"/>
          <w:szCs w:val="20"/>
          <w:u w:val="none"/>
        </w:rPr>
        <w:t>, sob pena de perda do direito de gozo dos referidos benefícios</w:t>
      </w:r>
      <w:r>
        <w:rPr>
          <w:rFonts w:cs="Arial" w:ascii="Verdana" w:hAnsi="Verdana"/>
          <w:bCs/>
          <w:color w:val="000000"/>
          <w:sz w:val="20"/>
          <w:szCs w:val="20"/>
        </w:rPr>
        <w:t>.</w:t>
      </w:r>
    </w:p>
    <w:p>
      <w:pPr>
        <w:pStyle w:val="Normal"/>
        <w:snapToGrid w:val="false"/>
        <w:spacing w:lineRule="auto" w:line="276" w:before="57" w:after="57"/>
        <w:jc w:val="both"/>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lineRule="auto" w:line="276" w:before="57" w:after="57"/>
        <w:jc w:val="both"/>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lineRule="auto" w:line="276" w:before="57" w:after="57"/>
        <w:jc w:val="both"/>
        <w:rPr/>
      </w:pPr>
      <w:r>
        <w:rPr>
          <w:rFonts w:cs="Arial" w:ascii="Verdana" w:hAnsi="Verdana"/>
          <w:bCs/>
          <w:color w:val="000000"/>
          <w:sz w:val="20"/>
          <w:szCs w:val="20"/>
        </w:rPr>
        <w:t>4.3.3 A</w:t>
      </w:r>
      <w:bookmarkStart w:id="2"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2"/>
    </w:p>
    <w:p>
      <w:pPr>
        <w:pStyle w:val="Normal"/>
        <w:tabs>
          <w:tab w:val="clear" w:pos="708"/>
          <w:tab w:val="left" w:pos="1440" w:leader="none"/>
        </w:tabs>
        <w:snapToGrid w:val="false"/>
        <w:spacing w:lineRule="auto" w:line="276" w:before="57" w:after="57"/>
        <w:jc w:val="both"/>
        <w:rPr/>
      </w:pPr>
      <w:r>
        <w:rPr>
          <w:rFonts w:eastAsia="Arial Unicode MS" w:cs="Arial" w:ascii="Verdana" w:hAnsi="Verdana"/>
          <w:color w:val="000000"/>
          <w:sz w:val="20"/>
          <w:szCs w:val="20"/>
        </w:rPr>
        <w:t>4.3.4 E</w:t>
      </w:r>
      <w:bookmarkStart w:id="3"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4.3.5 P</w:t>
      </w:r>
      <w:bookmarkStart w:id="4"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4"/>
    </w:p>
    <w:p>
      <w:pPr>
        <w:pStyle w:val="Normal"/>
        <w:tabs>
          <w:tab w:val="clear" w:pos="708"/>
          <w:tab w:val="left" w:pos="1440" w:leader="none"/>
        </w:tabs>
        <w:snapToGrid w:val="false"/>
        <w:spacing w:lineRule="auto" w:line="276" w:before="57" w:after="57"/>
        <w:jc w:val="both"/>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4.3.7 E</w:t>
      </w:r>
      <w:bookmarkStart w:id="5" w:name="_Ref113883579"/>
      <w:r>
        <w:rPr>
          <w:rFonts w:cs="Arial" w:ascii="Verdana" w:hAnsi="Verdana"/>
          <w:color w:val="000000"/>
          <w:sz w:val="20"/>
          <w:szCs w:val="20"/>
        </w:rPr>
        <w:t>mpresas controladoras, controladas ou coligadas, nos termos da Lei nº 6.404, de 15 de dezembro de 1976, concorrendo entre si;</w:t>
      </w:r>
      <w:bookmarkEnd w:id="5"/>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lineRule="auto" w:line="276" w:before="57" w:after="57"/>
        <w:jc w:val="both"/>
        <w:rPr/>
      </w:pPr>
      <w:r>
        <w:rPr>
          <w:rFonts w:cs="Arial" w:ascii="Verdana" w:hAnsi="Verdana"/>
          <w:color w:val="000000"/>
          <w:sz w:val="20"/>
          <w:szCs w:val="20"/>
        </w:rPr>
        <w:t>4.3.9 A</w:t>
      </w:r>
      <w:bookmarkStart w:id="6" w:name="_Ref113962336"/>
      <w:r>
        <w:rPr>
          <w:rFonts w:cs="Arial" w:ascii="Verdana" w:hAnsi="Verdana"/>
          <w:color w:val="000000"/>
          <w:sz w:val="20"/>
          <w:szCs w:val="20"/>
        </w:rPr>
        <w:t>gente público do órgão ou entidade licitante;</w:t>
      </w:r>
      <w:bookmarkEnd w:id="6"/>
    </w:p>
    <w:p>
      <w:pPr>
        <w:pStyle w:val="Normal"/>
        <w:snapToGrid w:val="false"/>
        <w:spacing w:lineRule="auto" w:line="276" w:before="57" w:after="57"/>
        <w:jc w:val="both"/>
        <w:rPr/>
      </w:pPr>
      <w:r>
        <w:rPr>
          <w:rFonts w:cs="Arial" w:ascii="Verdana" w:hAnsi="Verdana"/>
          <w:bCs/>
          <w:color w:val="000000"/>
          <w:sz w:val="20"/>
          <w:szCs w:val="20"/>
        </w:rPr>
        <w:t>4.3.10 Organizações da Sociedade Civil interesse Público – OSCIP, atuando nessa condição;</w:t>
      </w:r>
    </w:p>
    <w:p>
      <w:pPr>
        <w:pStyle w:val="Normal"/>
        <w:snapToGrid w:val="false"/>
        <w:spacing w:lineRule="auto" w:line="276" w:before="57" w:after="57"/>
        <w:jc w:val="both"/>
        <w:rPr>
          <w:rFonts w:ascii="Verdana" w:hAnsi="Verdana" w:cs="Arial"/>
          <w:bCs/>
          <w:color w:val="000000"/>
          <w:sz w:val="20"/>
          <w:szCs w:val="20"/>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ormal"/>
        <w:snapToGrid w:val="false"/>
        <w:spacing w:lineRule="auto" w:line="276" w:before="57" w:after="57"/>
        <w:jc w:val="both"/>
        <w:rPr/>
      </w:pPr>
      <w:r>
        <w:rPr>
          <w:rFonts w:cs="Arial" w:ascii="Verdana" w:hAnsi="Verdana"/>
          <w:bCs/>
          <w:color w:val="000000"/>
          <w:sz w:val="20"/>
          <w:szCs w:val="2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before="57" w:after="57"/>
        <w:ind w:hanging="0" w:left="0"/>
        <w:rPr/>
      </w:pPr>
      <w:bookmarkStart w:id="7" w:name="art14§2"/>
      <w:bookmarkEnd w:id="7"/>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before="57" w:after="57"/>
        <w:ind w:hanging="0" w:left="0"/>
        <w:rPr/>
      </w:pPr>
      <w:bookmarkStart w:id="8" w:name="art14§3"/>
      <w:bookmarkEnd w:id="8"/>
      <w:r>
        <w:rPr>
          <w:rFonts w:eastAsia="Segoe UI" w:cs="Arial" w:ascii="Verdana" w:hAnsi="Verdana"/>
          <w:bCs/>
          <w:color w:val="000000"/>
        </w:rPr>
        <w:t>4.6 Equiparam-se aos autores do projeto as empresas integrantes do mesmo grupo econômico.</w:t>
      </w:r>
    </w:p>
    <w:p>
      <w:pPr>
        <w:pStyle w:val="Nivel2"/>
        <w:numPr>
          <w:ilvl w:val="0"/>
          <w:numId w:val="0"/>
        </w:numPr>
        <w:spacing w:before="57" w:after="57"/>
        <w:ind w:hanging="0" w:left="0"/>
        <w:rPr/>
      </w:pPr>
      <w:bookmarkStart w:id="9" w:name="art14§4"/>
      <w:bookmarkEnd w:id="9"/>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before="57" w:after="57"/>
        <w:ind w:hanging="0" w:left="0"/>
        <w:rPr/>
      </w:pPr>
      <w:bookmarkStart w:id="10" w:name="art14§5"/>
      <w:bookmarkEnd w:id="10"/>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before="57" w:after="57"/>
        <w:ind w:hanging="0" w:left="0"/>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before="57" w:after="57"/>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lineRule="auto" w:line="276" w:before="57" w:after="57"/>
        <w:ind w:hanging="0" w:left="0"/>
        <w:rPr/>
      </w:pPr>
      <w:r>
        <w:rPr>
          <w:rFonts w:cs="Arial" w:ascii="Verdana" w:hAnsi="Verdana"/>
        </w:rPr>
        <w:t>DA APRESENTAÇÃO DA PROPOSTA E DOS DOCUMENTOS DE HABILITAÇÃO</w:t>
      </w:r>
    </w:p>
    <w:p>
      <w:pPr>
        <w:pStyle w:val="Normal"/>
        <w:numPr>
          <w:ilvl w:val="1"/>
          <w:numId w:val="19"/>
        </w:numPr>
        <w:tabs>
          <w:tab w:val="clear" w:pos="708"/>
          <w:tab w:val="left" w:pos="450" w:leader="none"/>
          <w:tab w:val="left" w:pos="1450" w:leader="none"/>
        </w:tabs>
        <w:spacing w:lineRule="auto" w:line="276" w:before="57" w:after="57"/>
        <w:ind w:hanging="0" w:left="0"/>
        <w:jc w:val="both"/>
        <w:rPr/>
      </w:pPr>
      <w:r>
        <w:rPr>
          <w:rFonts w:cs="Arial" w:ascii="Verdana" w:hAnsi="Verdana"/>
          <w:color w:val="000000"/>
          <w:sz w:val="20"/>
          <w:szCs w:val="20"/>
        </w:rPr>
        <w:t>Os licitantes encaminharão, exclusivamente por meio do sistema,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20"/>
        </w:numPr>
        <w:tabs>
          <w:tab w:val="clear" w:pos="708"/>
          <w:tab w:val="left" w:pos="450" w:leader="none"/>
        </w:tabs>
        <w:spacing w:lineRule="auto" w:line="276" w:before="57" w:after="57"/>
        <w:ind w:hanging="0" w:left="0"/>
        <w:jc w:val="both"/>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21"/>
        </w:numPr>
        <w:tabs>
          <w:tab w:val="clear" w:pos="708"/>
          <w:tab w:val="left" w:pos="450" w:leader="none"/>
        </w:tabs>
        <w:spacing w:lineRule="auto" w:line="276" w:before="57" w:after="57"/>
        <w:ind w:hanging="0" w:left="0"/>
        <w:jc w:val="both"/>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22"/>
        </w:numPr>
        <w:tabs>
          <w:tab w:val="clear" w:pos="708"/>
          <w:tab w:val="left" w:pos="450" w:leader="none"/>
        </w:tabs>
        <w:spacing w:lineRule="auto" w:line="276" w:before="57" w:after="57"/>
        <w:ind w:hanging="0" w:left="0"/>
        <w:jc w:val="both"/>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23"/>
        </w:numPr>
        <w:tabs>
          <w:tab w:val="clear" w:pos="708"/>
          <w:tab w:val="left" w:pos="450" w:leader="none"/>
        </w:tabs>
        <w:spacing w:lineRule="auto" w:line="276" w:before="57" w:after="57"/>
        <w:ind w:hanging="0" w:left="0"/>
        <w:jc w:val="both"/>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24"/>
        </w:numPr>
        <w:tabs>
          <w:tab w:val="clear" w:pos="708"/>
          <w:tab w:val="left" w:pos="450" w:leader="none"/>
        </w:tabs>
        <w:spacing w:lineRule="auto" w:line="276" w:before="57" w:after="57"/>
        <w:ind w:hanging="0" w:left="0"/>
        <w:jc w:val="both"/>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25"/>
        </w:numPr>
        <w:tabs>
          <w:tab w:val="clear" w:pos="708"/>
          <w:tab w:val="left" w:pos="450" w:leader="none"/>
        </w:tabs>
        <w:spacing w:lineRule="auto" w:line="276" w:before="57" w:after="57"/>
        <w:ind w:hanging="0" w:left="0"/>
        <w:jc w:val="both"/>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6"/>
        </w:numPr>
        <w:tabs>
          <w:tab w:val="clear" w:pos="708"/>
          <w:tab w:val="left" w:pos="450" w:leader="none"/>
        </w:tabs>
        <w:spacing w:lineRule="auto" w:line="276" w:before="57" w:after="57"/>
        <w:ind w:hanging="0" w:left="0"/>
        <w:jc w:val="both"/>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spacing w:lineRule="auto" w:line="276" w:before="57" w:after="57"/>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rPr>
        <w:t>DO PREENCHIMENTO DA PROPOSTA</w:t>
      </w:r>
    </w:p>
    <w:p>
      <w:pPr>
        <w:pStyle w:val="Normal"/>
        <w:numPr>
          <w:ilvl w:val="1"/>
          <w:numId w:val="2"/>
        </w:numPr>
        <w:tabs>
          <w:tab w:val="clear" w:pos="708"/>
          <w:tab w:val="left" w:pos="450" w:leader="none"/>
        </w:tabs>
        <w:spacing w:lineRule="auto" w:line="276" w:before="57" w:after="57"/>
        <w:ind w:hanging="0" w:left="0"/>
        <w:jc w:val="both"/>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lineRule="auto" w:line="276" w:before="57" w:after="57"/>
        <w:ind w:hanging="0" w:left="0"/>
        <w:jc w:val="both"/>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lineRule="auto" w:line="276" w:before="57" w:after="57"/>
        <w:jc w:val="both"/>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lineRule="auto" w:line="276" w:before="57" w:after="57"/>
        <w:ind w:hanging="0" w:left="0"/>
        <w:jc w:val="both"/>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before="57" w:after="57"/>
        <w:ind w:hanging="0" w:left="0"/>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lineRule="auto" w:line="276" w:before="57" w:after="57"/>
        <w:ind w:hanging="0" w:left="0"/>
        <w:contextualSpacing w:val="false"/>
        <w:jc w:val="both"/>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lineRule="auto" w:line="276" w:before="57" w:after="57"/>
        <w:ind w:hanging="0" w:left="0"/>
        <w:contextualSpacing w:val="false"/>
        <w:jc w:val="both"/>
        <w:rPr/>
      </w:pPr>
      <w:r>
        <w:rPr>
          <w:rFonts w:cs="Arial" w:ascii="Verdana" w:hAnsi="Verdana"/>
          <w:color w:val="000000"/>
          <w:sz w:val="20"/>
          <w:szCs w:val="20"/>
        </w:rPr>
        <w:t>6.7.1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Nivel01"/>
        <w:numPr>
          <w:ilvl w:val="0"/>
          <w:numId w:val="2"/>
        </w:numPr>
        <w:spacing w:lineRule="auto" w:line="276" w:before="57" w:after="57"/>
        <w:ind w:hanging="0" w:left="0"/>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before="57" w:after="57"/>
        <w:ind w:hanging="0" w:left="0"/>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lineRule="auto" w:line="276" w:before="57" w:after="57"/>
        <w:ind w:hanging="0" w:left="0"/>
        <w:jc w:val="both"/>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lineRule="auto" w:line="276" w:before="57" w:after="57"/>
        <w:ind w:hanging="0" w:left="0"/>
        <w:jc w:val="both"/>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lineRule="auto" w:line="276" w:before="57" w:after="57"/>
        <w:jc w:val="both"/>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lineRule="auto" w:line="276" w:before="57" w:after="57"/>
        <w:jc w:val="both"/>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unitário.</w:t>
      </w:r>
    </w:p>
    <w:p>
      <w:pPr>
        <w:pStyle w:val="ListParagraph"/>
        <w:spacing w:lineRule="auto" w:line="276" w:before="57" w:after="57"/>
        <w:ind w:hanging="0" w:left="0"/>
        <w:contextualSpacing w:val="false"/>
        <w:jc w:val="both"/>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lineRule="auto" w:line="276" w:before="57" w:after="57"/>
        <w:ind w:hanging="0" w:left="0"/>
        <w:contextualSpacing w:val="false"/>
        <w:jc w:val="both"/>
        <w:rPr/>
      </w:pPr>
      <w:r>
        <w:rPr>
          <w:rFonts w:cs="Arial" w:ascii="Verdana" w:hAnsi="Verdana"/>
          <w:sz w:val="20"/>
          <w:szCs w:val="20"/>
        </w:rPr>
        <w:t>7.7 O licitante somente poderá oferecer lance de valor inferior ao último por ele ofertado e registrado pelo sistema.</w:t>
      </w:r>
    </w:p>
    <w:p>
      <w:pPr>
        <w:pStyle w:val="ListParagraph"/>
        <w:spacing w:lineRule="auto" w:line="276" w:before="57" w:after="57"/>
        <w:ind w:hanging="0" w:left="0"/>
        <w:contextualSpacing w:val="false"/>
        <w:jc w:val="both"/>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R$ 0,01. (um centavo)</w:t>
      </w:r>
      <w:r>
        <w:rPr>
          <w:rFonts w:ascii="Verdana" w:hAnsi="Verdana"/>
          <w:i/>
          <w:iCs/>
          <w:sz w:val="20"/>
          <w:szCs w:val="20"/>
        </w:rPr>
        <w:t>.</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lineRule="auto" w:line="276" w:before="57" w:after="57"/>
        <w:jc w:val="both"/>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lineRule="auto" w:line="276" w:before="57" w:after="57"/>
        <w:jc w:val="both"/>
        <w:rPr/>
      </w:pPr>
      <w:r>
        <w:rPr>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lineRule="auto" w:line="276" w:before="57" w:after="57"/>
        <w:jc w:val="both"/>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lineRule="auto" w:line="276" w:before="57" w:after="57"/>
        <w:jc w:val="both"/>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lineRule="auto" w:line="276" w:before="57" w:after="57"/>
        <w:jc w:val="both"/>
        <w:rPr/>
      </w:pPr>
      <w:r>
        <w:rPr>
          <w:rFonts w:ascii="Verdana" w:hAnsi="Verdana"/>
          <w:sz w:val="20"/>
          <w:szCs w:val="20"/>
        </w:rPr>
        <w:t>7.13 Após o reinício previsto no item supra, os licitantes serão convocados para apresentar lances intermediários.</w:t>
      </w:r>
    </w:p>
    <w:p>
      <w:pPr>
        <w:pStyle w:val="Normal"/>
        <w:spacing w:lineRule="auto" w:line="276" w:before="57" w:after="57"/>
        <w:jc w:val="both"/>
        <w:rPr/>
      </w:pPr>
      <w:r>
        <w:rPr>
          <w:rFonts w:ascii="Verdana" w:hAnsi="Verdana"/>
          <w:sz w:val="20"/>
          <w:szCs w:val="20"/>
        </w:rPr>
        <w:t>7.11. Após o término dos prazos estabelecidos nos itens anteriores, o sistema ordenará os lances segundo a ordem crescente de valores.</w:t>
      </w:r>
    </w:p>
    <w:p>
      <w:pPr>
        <w:pStyle w:val="Normal"/>
        <w:spacing w:lineRule="auto" w:line="276" w:before="57" w:after="57"/>
        <w:jc w:val="both"/>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lineRule="auto" w:line="276" w:before="57" w:after="57"/>
        <w:jc w:val="both"/>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lineRule="auto" w:line="276" w:before="57" w:after="57"/>
        <w:jc w:val="both"/>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lineRule="auto" w:line="276" w:before="57" w:after="57"/>
        <w:jc w:val="both"/>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lineRule="auto" w:line="276" w:before="57" w:after="57"/>
        <w:jc w:val="both"/>
        <w:rPr/>
      </w:pPr>
      <w:r>
        <w:rPr>
          <w:rFonts w:cs="Arial" w:ascii="Verdana" w:hAnsi="Verdana"/>
          <w:color w:val="000000"/>
          <w:sz w:val="20"/>
          <w:szCs w:val="20"/>
        </w:rPr>
        <w:t>7.17 O Critério de julgamento adotado será o de menor preço, conforme definido neste Edital e seus anexos.</w:t>
      </w:r>
    </w:p>
    <w:p>
      <w:pPr>
        <w:pStyle w:val="Normal"/>
        <w:spacing w:lineRule="auto" w:line="276" w:before="57" w:after="57"/>
        <w:jc w:val="both"/>
        <w:rPr/>
      </w:pPr>
      <w:r>
        <w:rPr>
          <w:rFonts w:cs="Arial" w:ascii="Verdana" w:hAnsi="Verdana"/>
          <w:color w:val="000000"/>
          <w:sz w:val="20"/>
          <w:szCs w:val="20"/>
        </w:rPr>
        <w:t>7.18 Caso o licitante não apresente lances, concorrerá com o valor de sua proposta.</w:t>
      </w:r>
    </w:p>
    <w:p>
      <w:pPr>
        <w:pStyle w:val="Normal"/>
        <w:spacing w:lineRule="auto" w:line="276" w:before="57" w:after="57"/>
        <w:jc w:val="both"/>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lineRule="auto" w:line="276" w:before="57" w:after="57"/>
        <w:jc w:val="both"/>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lineRule="auto" w:line="276" w:before="57" w:after="57"/>
        <w:jc w:val="both"/>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lineRule="auto" w:line="276" w:before="57" w:after="57"/>
        <w:jc w:val="both"/>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lineRule="auto" w:line="276" w:before="57" w:after="57"/>
        <w:jc w:val="both"/>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lineRule="auto" w:line="276" w:before="57" w:after="57"/>
        <w:jc w:val="both"/>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lineRule="auto" w:line="276" w:before="57" w:after="57"/>
        <w:jc w:val="both"/>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lineRule="auto" w:line="276" w:before="57" w:after="57"/>
        <w:jc w:val="both"/>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lineRule="auto" w:line="276" w:before="57" w:after="57"/>
        <w:jc w:val="both"/>
        <w:rPr/>
      </w:pPr>
      <w:r>
        <w:rPr>
          <w:rFonts w:cs="Arial" w:ascii="Verdana" w:hAnsi="Verdana"/>
          <w:color w:val="000000"/>
          <w:sz w:val="20"/>
          <w:szCs w:val="20"/>
          <w:lang w:eastAsia="en-US"/>
        </w:rPr>
        <w:t>7.25.3 Por empresas brasileiras;</w:t>
      </w:r>
    </w:p>
    <w:p>
      <w:pPr>
        <w:pStyle w:val="Normal"/>
        <w:spacing w:lineRule="auto" w:line="276" w:before="57" w:after="57"/>
        <w:jc w:val="both"/>
        <w:rPr/>
      </w:pPr>
      <w:r>
        <w:rPr>
          <w:rFonts w:cs="Arial" w:ascii="Verdana" w:hAnsi="Verdana"/>
          <w:color w:val="000000"/>
          <w:sz w:val="20"/>
          <w:szCs w:val="20"/>
          <w:lang w:eastAsia="en-US"/>
        </w:rPr>
        <w:t>7.25.4 Por empresas que invistam em pesquisa e no desenvolvimento de tecnologia no País;</w:t>
      </w:r>
    </w:p>
    <w:p>
      <w:pPr>
        <w:pStyle w:val="Normal"/>
        <w:spacing w:lineRule="auto" w:line="276"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lineRule="auto" w:line="276" w:before="57" w:after="57"/>
        <w:jc w:val="both"/>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lineRule="auto" w:line="276" w:before="57" w:after="57"/>
        <w:jc w:val="both"/>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lineRule="auto" w:line="276" w:before="57" w:after="57"/>
        <w:ind w:hanging="0" w:left="0"/>
        <w:contextualSpacing w:val="false"/>
        <w:jc w:val="both"/>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lineRule="auto" w:line="276" w:before="57" w:after="57"/>
        <w:ind w:hanging="0" w:left="0"/>
        <w:contextualSpacing w:val="false"/>
        <w:jc w:val="both"/>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tabs>
          <w:tab w:val="clear" w:pos="567"/>
          <w:tab w:val="left" w:pos="517" w:leader="none"/>
        </w:tabs>
        <w:spacing w:lineRule="auto" w:line="276" w:before="57" w:after="57"/>
        <w:ind w:hanging="0" w:left="0"/>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lineRule="auto" w:line="276" w:before="57" w:after="57"/>
        <w:ind w:hanging="0" w:left="0"/>
        <w:contextualSpacing w:val="false"/>
        <w:jc w:val="both"/>
        <w:rPr/>
      </w:pPr>
      <w:bookmarkStart w:id="11"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292"/>
          <w:sz w:val="20"/>
          <w:u w:val="single"/>
          <w:szCs w:val="20"/>
          <w:rFonts w:cs="Arial" w:ascii="Verdana" w:hAnsi="Verdana"/>
          <w:color w:val="000080"/>
        </w:rPr>
        <w:instrText xml:space="preserve"> HYPERLINK "http://www.planalto.gov.br/ccivil_03/_ato2019-2022/2021/lei/L14133.htm" \l "art14"</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 14 da Lei nº 14.133/2021</w:t>
      </w:r>
      <w:r>
        <w:rPr>
          <w:rStyle w:val="ListLabel292"/>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1"/>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292"/>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292"/>
          <w:sz w:val="20"/>
          <w:u w:val="single"/>
          <w:szCs w:val="20"/>
          <w:rFonts w:cs="Arial" w:ascii="Verdana" w:hAnsi="Verdana"/>
          <w:color w:val="000080"/>
        </w:rPr>
        <w:fldChar w:fldCharType="separate"/>
      </w:r>
      <w:r>
        <w:rPr>
          <w:rStyle w:val="ListLabel292"/>
          <w:rFonts w:cs="Arial" w:ascii="Verdana" w:hAnsi="Verdana"/>
          <w:color w:val="000080"/>
          <w:sz w:val="20"/>
          <w:szCs w:val="20"/>
          <w:u w:val="single"/>
        </w:rPr>
        <w:t>artigo 29 a 35 da IN SEGES nº 73, de 30 de setembro de 2022</w:t>
      </w:r>
      <w:r>
        <w:rPr>
          <w:rStyle w:val="ListLabel292"/>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lineRule="auto" w:line="276" w:before="57" w:after="57"/>
        <w:ind w:hanging="0" w:left="0"/>
        <w:jc w:val="both"/>
        <w:rPr/>
      </w:pPr>
      <w:r>
        <w:rPr>
          <w:rFonts w:ascii="Verdana" w:hAnsi="Verdana"/>
          <w:sz w:val="20"/>
          <w:szCs w:val="20"/>
        </w:rPr>
        <w:t xml:space="preserve">Será desclassificada a proposta ou o lance vencedor, que: </w:t>
      </w:r>
    </w:p>
    <w:p>
      <w:pPr>
        <w:pStyle w:val="Normal"/>
        <w:tabs>
          <w:tab w:val="clear" w:pos="708"/>
          <w:tab w:val="left" w:pos="517" w:leader="none"/>
        </w:tabs>
        <w:spacing w:lineRule="auto" w:line="276" w:before="57" w:after="57"/>
        <w:jc w:val="both"/>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lineRule="auto" w:line="276" w:before="57" w:after="57"/>
        <w:jc w:val="both"/>
        <w:rPr/>
      </w:pPr>
      <w:r>
        <w:rPr>
          <w:rFonts w:ascii="Verdana" w:hAnsi="Verdana"/>
          <w:sz w:val="20"/>
          <w:szCs w:val="20"/>
        </w:rPr>
        <w:t>8.4.2 contenha vício insanável ou ilegalidade;</w:t>
      </w:r>
    </w:p>
    <w:p>
      <w:pPr>
        <w:pStyle w:val="Normal"/>
        <w:tabs>
          <w:tab w:val="clear" w:pos="708"/>
          <w:tab w:val="left" w:pos="517" w:leader="none"/>
        </w:tabs>
        <w:spacing w:lineRule="auto" w:line="276" w:before="57" w:after="57"/>
        <w:jc w:val="both"/>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before="57" w:after="57"/>
        <w:ind w:hanging="0" w:left="0"/>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lineRule="auto" w:line="276" w:before="57" w:after="57"/>
        <w:jc w:val="both"/>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lineRule="auto" w:line="276" w:before="57" w:after="57"/>
        <w:ind w:hanging="0" w:left="0"/>
        <w:jc w:val="both"/>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lineRule="auto" w:line="276" w:before="57" w:after="57"/>
        <w:ind w:hanging="0" w:left="0"/>
        <w:contextualSpacing w:val="false"/>
        <w:jc w:val="both"/>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lineRule="auto" w:line="276" w:before="57" w:after="57"/>
        <w:ind w:hanging="0" w:left="0"/>
        <w:jc w:val="both"/>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lineRule="auto" w:line="276" w:before="57" w:after="57"/>
        <w:ind w:hanging="0" w:left="0"/>
        <w:jc w:val="both"/>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lineRule="auto" w:line="276" w:before="57" w:after="57"/>
        <w:ind w:hanging="0" w:left="0"/>
        <w:jc w:val="both"/>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spacing w:lineRule="auto" w:line="276" w:before="57" w:after="57"/>
        <w:ind w:hanging="0" w:left="0"/>
        <w:jc w:val="both"/>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spacing w:lineRule="auto" w:line="276" w:before="57" w:after="57"/>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lineRule="auto" w:line="276" w:before="57" w:after="57"/>
        <w:ind w:hanging="0" w:left="0"/>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57" w:after="57"/>
        <w:ind w:hanging="0" w:left="0"/>
        <w:contextualSpacing w:val="false"/>
        <w:jc w:val="both"/>
        <w:rPr/>
      </w:pPr>
      <w:r>
        <w:rPr>
          <w:rFonts w:cs="Arial" w:ascii="Verdana" w:hAnsi="Verdana"/>
          <w:sz w:val="20"/>
          <w:szCs w:val="20"/>
          <w:lang w:eastAsia="ar-SA"/>
        </w:rPr>
        <w:t>a) SICAF;</w:t>
      </w:r>
    </w:p>
    <w:p>
      <w:pPr>
        <w:pStyle w:val="ListParagraph"/>
        <w:spacing w:lineRule="auto" w:line="276" w:before="57" w:after="57"/>
        <w:ind w:hanging="0"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4">
        <w:r>
          <w:rPr>
            <w:rStyle w:val="ListLabel293"/>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5">
        <w:r>
          <w:rPr>
            <w:rStyle w:val="ListLabel293"/>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lineRule="auto" w:line="276" w:before="57" w:after="57"/>
        <w:ind w:hanging="0" w:left="0"/>
        <w:contextualSpacing w:val="false"/>
        <w:jc w:val="both"/>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lineRule="auto" w:line="276"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6">
        <w:r>
          <w:rPr>
            <w:rStyle w:val="ListLabel294"/>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lineRule="auto" w:line="276"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7">
        <w:r>
          <w:rPr>
            <w:rStyle w:val="ListLabel293"/>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lineRule="auto" w:line="276" w:before="57" w:after="57"/>
        <w:jc w:val="both"/>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lineRule="auto" w:line="276" w:before="57" w:after="57"/>
        <w:ind w:hanging="0" w:left="0"/>
        <w:contextualSpacing w:val="false"/>
        <w:jc w:val="both"/>
        <w:rPr/>
      </w:pPr>
      <w:r>
        <w:rPr>
          <w:rFonts w:cs="Arial" w:ascii="Verdana" w:hAnsi="Verdana"/>
          <w:bCs/>
          <w:color w:val="000000"/>
          <w:sz w:val="20"/>
          <w:szCs w:val="20"/>
        </w:rPr>
        <w:t>9.1.2.3 O licitante será convocado para manifestação previamente à sua desclassificação.</w:t>
      </w:r>
    </w:p>
    <w:p>
      <w:pPr>
        <w:pStyle w:val="ListParagraph"/>
        <w:spacing w:lineRule="auto" w:line="276" w:before="57" w:after="57"/>
        <w:ind w:hanging="0" w:left="0"/>
        <w:contextualSpacing w:val="false"/>
        <w:jc w:val="both"/>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lineRule="auto" w:line="276" w:before="57" w:after="57"/>
        <w:ind w:hanging="0" w:left="0"/>
        <w:contextualSpacing w:val="false"/>
        <w:jc w:val="both"/>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lineRule="auto" w:line="276" w:before="57" w:after="57"/>
        <w:ind w:hanging="0" w:left="0"/>
        <w:contextualSpacing w:val="false"/>
        <w:jc w:val="both"/>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lineRule="auto" w:line="276" w:before="57" w:after="57"/>
        <w:ind w:hanging="0" w:left="0"/>
        <w:contextualSpacing w:val="false"/>
        <w:jc w:val="both"/>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lineRule="auto" w:line="276" w:before="57" w:after="57"/>
        <w:ind w:hanging="0" w:left="0"/>
        <w:contextualSpacing w:val="false"/>
        <w:jc w:val="both"/>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Habilitação jurídica: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8">
        <w:r>
          <w:rPr>
            <w:rStyle w:val="ListLabel295"/>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lineRule="auto" w:line="276" w:before="57" w:after="57"/>
        <w:ind w:hanging="0" w:left="0"/>
        <w:contextualSpacing w:val="false"/>
        <w:jc w:val="both"/>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lineRule="auto" w:line="276" w:before="57" w:after="57"/>
        <w:ind w:hanging="0" w:left="0"/>
        <w:contextualSpacing w:val="false"/>
        <w:jc w:val="both"/>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lineRule="auto" w:line="276" w:before="57" w:after="57"/>
        <w:ind w:hanging="0" w:left="0"/>
        <w:jc w:val="both"/>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lineRule="auto" w:line="276" w:before="57" w:after="57"/>
        <w:ind w:hanging="0" w:left="0"/>
        <w:jc w:val="both"/>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lineRule="auto" w:line="276" w:before="57" w:after="57"/>
        <w:ind w:hanging="0" w:left="0"/>
        <w:jc w:val="both"/>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lineRule="auto" w:line="276" w:before="57" w:after="57"/>
        <w:ind w:hanging="0" w:left="0"/>
        <w:jc w:val="both"/>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numPr>
          <w:ilvl w:val="1"/>
          <w:numId w:val="2"/>
        </w:numPr>
        <w:spacing w:lineRule="auto" w:line="276" w:before="57" w:after="57"/>
        <w:ind w:hanging="0" w:left="0"/>
        <w:contextualSpacing w:val="false"/>
        <w:jc w:val="both"/>
        <w:rPr/>
      </w:pPr>
      <w:r>
        <w:rPr>
          <w:rFonts w:cs="Arial" w:ascii="Verdana" w:hAnsi="Verdana"/>
          <w:b/>
          <w:color w:val="000000"/>
          <w:sz w:val="20"/>
          <w:szCs w:val="20"/>
        </w:rPr>
        <w:t xml:space="preserve"> </w:t>
      </w:r>
      <w:r>
        <w:rPr>
          <w:rFonts w:cs="Arial" w:ascii="Verdana" w:hAnsi="Verdana"/>
          <w:b/>
          <w:color w:val="000000"/>
          <w:sz w:val="20"/>
          <w:szCs w:val="20"/>
        </w:rPr>
        <w:t>Qualificação</w:t>
      </w:r>
      <w:r>
        <w:rPr>
          <w:rFonts w:cs="Arial" w:ascii="Verdana" w:hAnsi="Verdana"/>
          <w:b/>
          <w:bCs/>
          <w:iCs/>
          <w:color w:val="000000"/>
          <w:sz w:val="20"/>
          <w:szCs w:val="20"/>
        </w:rPr>
        <w:t xml:space="preserve"> Técnica</w:t>
      </w:r>
    </w:p>
    <w:p>
      <w:pPr>
        <w:pStyle w:val="Normal"/>
        <w:tabs>
          <w:tab w:val="clear" w:pos="708"/>
          <w:tab w:val="left" w:pos="850" w:leader="none"/>
        </w:tabs>
        <w:snapToGrid w:val="false"/>
        <w:spacing w:lineRule="auto" w:line="276" w:before="57" w:after="57"/>
        <w:jc w:val="both"/>
        <w:rPr/>
      </w:pPr>
      <w:r>
        <w:rPr>
          <w:rFonts w:cs="Arial" w:ascii="Verdana" w:hAnsi="Verdana"/>
          <w:bCs/>
          <w:iCs/>
          <w:color w:val="000000"/>
          <w:sz w:val="20"/>
          <w:szCs w:val="20"/>
        </w:rPr>
        <w:t xml:space="preserve">9.11.1. </w:t>
      </w:r>
      <w:r>
        <w:rPr>
          <w:rFonts w:cs="Arial" w:ascii="Verdana" w:hAnsi="Verdana"/>
          <w:color w:val="000000"/>
          <w:sz w:val="20"/>
          <w:szCs w:val="20"/>
        </w:rPr>
        <w:t xml:space="preserve">A própria Constituição Federal, garante em seu art. 37, XXI, </w:t>
      </w:r>
      <w:r>
        <w:rPr>
          <w:rFonts w:cs="Arial" w:ascii="Verdana" w:hAnsi="Verdana"/>
          <w:i/>
          <w:iCs/>
          <w:color w:val="000000"/>
          <w:sz w:val="20"/>
          <w:szCs w:val="20"/>
        </w:rPr>
        <w:t>in fine</w:t>
      </w:r>
      <w:r>
        <w:rPr>
          <w:rFonts w:cs="Arial" w:ascii="Verdana" w:hAnsi="Verdana"/>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pPr>
        <w:pStyle w:val="Normal"/>
        <w:tabs>
          <w:tab w:val="clear" w:pos="708"/>
          <w:tab w:val="left" w:pos="426" w:leader="none"/>
        </w:tabs>
        <w:snapToGrid w:val="false"/>
        <w:spacing w:lineRule="auto" w:line="276" w:before="57" w:after="57"/>
        <w:jc w:val="both"/>
        <w:rPr/>
      </w:pPr>
      <w:r>
        <w:rPr>
          <w:rFonts w:cs="Arial" w:ascii="Verdana" w:hAnsi="Verdana"/>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pPr>
      <w:r>
        <w:rPr>
          <w:rFonts w:cs="Arial" w:ascii="Verdana" w:hAnsi="Verdana"/>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2"/>
        </w:numPr>
        <w:tabs>
          <w:tab w:val="clear" w:pos="708"/>
          <w:tab w:val="left" w:pos="617" w:leader="none"/>
        </w:tabs>
        <w:snapToGrid w:val="false"/>
        <w:spacing w:lineRule="auto" w:line="276" w:before="57" w:after="57"/>
        <w:ind w:hanging="0" w:left="0"/>
        <w:contextualSpacing w:val="false"/>
        <w:jc w:val="both"/>
        <w:rPr/>
      </w:pPr>
      <w:r>
        <w:rPr>
          <w:rFonts w:cs="Arial" w:ascii="Verdana" w:hAnsi="Verdana"/>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numPr>
          <w:ilvl w:val="2"/>
          <w:numId w:val="27"/>
        </w:numPr>
        <w:tabs>
          <w:tab w:val="clear" w:pos="708"/>
          <w:tab w:val="left" w:pos="850" w:leader="none"/>
        </w:tabs>
        <w:spacing w:lineRule="auto" w:line="276" w:before="57" w:after="57"/>
        <w:ind w:hanging="0" w:left="0"/>
        <w:contextualSpacing w:val="false"/>
        <w:jc w:val="both"/>
        <w:rPr/>
      </w:pPr>
      <w:r>
        <w:rPr>
          <w:rFonts w:cs="Arial" w:ascii="Verdana" w:hAnsi="Verdana"/>
          <w:bCs/>
          <w:color w:val="000000"/>
          <w:sz w:val="20"/>
          <w:szCs w:val="20"/>
        </w:rPr>
        <w:t>A declaração do vencedor acontecerá no momento imediatamente posterior à fase de habilitação.</w:t>
      </w:r>
    </w:p>
    <w:p>
      <w:pPr>
        <w:pStyle w:val="ListParagraph"/>
        <w:numPr>
          <w:ilvl w:val="1"/>
          <w:numId w:val="28"/>
        </w:numPr>
        <w:tabs>
          <w:tab w:val="clear" w:pos="708"/>
          <w:tab w:val="left" w:pos="517" w:leader="none"/>
        </w:tabs>
        <w:spacing w:lineRule="auto" w:line="276" w:before="57" w:after="57"/>
        <w:ind w:hanging="0" w:left="0"/>
        <w:contextualSpacing w:val="false"/>
        <w:jc w:val="both"/>
        <w:rPr/>
      </w:pPr>
      <w:r>
        <w:rPr>
          <w:rFonts w:cs="Arial" w:ascii="Verdana" w:hAnsi="Verdana"/>
          <w:bCs/>
          <w:sz w:val="20"/>
          <w:szCs w:val="20"/>
        </w:rPr>
        <w:t xml:space="preserve">Caso a </w:t>
      </w:r>
      <w:r>
        <w:rPr>
          <w:rFonts w:cs="Arial" w:ascii="Verdana" w:hAnsi="Verdana"/>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numPr>
          <w:ilvl w:val="1"/>
          <w:numId w:val="29"/>
        </w:numPr>
        <w:tabs>
          <w:tab w:val="clear" w:pos="708"/>
          <w:tab w:val="left" w:pos="517" w:leader="none"/>
        </w:tabs>
        <w:spacing w:lineRule="auto" w:line="276" w:before="57" w:after="57"/>
        <w:ind w:hanging="0" w:left="0"/>
        <w:contextualSpacing w:val="false"/>
        <w:jc w:val="both"/>
        <w:rPr/>
      </w:pPr>
      <w:r>
        <w:rPr>
          <w:rFonts w:cs="Arial" w:ascii="Verdana" w:hAnsi="Verdana"/>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numPr>
          <w:ilvl w:val="1"/>
          <w:numId w:val="30"/>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Havendo necessidade de analisar minuciosamente os documentos exigidos, o Pregoeiro suspenderá a sessão, informando no “chat” a nova data e horário para a continuidade da mesma.</w:t>
      </w:r>
    </w:p>
    <w:p>
      <w:pPr>
        <w:pStyle w:val="ListParagraph"/>
        <w:numPr>
          <w:ilvl w:val="1"/>
          <w:numId w:val="31"/>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Será inabilitado o licitante que não comprovar sua habilitação, seja por não apresentar quaisquer dos documentos exigidos, ou apresentá-los em desacordo com o e</w:t>
      </w:r>
      <w:r>
        <w:rPr>
          <w:rFonts w:cs="Arial" w:ascii="Verdana" w:hAnsi="Verdana"/>
          <w:color w:val="000000"/>
          <w:sz w:val="20"/>
          <w:szCs w:val="20"/>
          <w:lang w:eastAsia="en-US"/>
        </w:rPr>
        <w:t>stabelecido neste Edital.</w:t>
      </w:r>
    </w:p>
    <w:p>
      <w:pPr>
        <w:pStyle w:val="ListParagraph"/>
        <w:numPr>
          <w:ilvl w:val="1"/>
          <w:numId w:val="32"/>
        </w:numPr>
        <w:tabs>
          <w:tab w:val="clear" w:pos="708"/>
          <w:tab w:val="left" w:pos="517" w:leader="none"/>
        </w:tabs>
        <w:spacing w:lineRule="auto" w:line="276" w:before="57" w:after="57"/>
        <w:ind w:hanging="0" w:left="0"/>
        <w:contextualSpacing w:val="false"/>
        <w:jc w:val="both"/>
        <w:rPr/>
      </w:pPr>
      <w:r>
        <w:rPr>
          <w:rFonts w:cs="Arial" w:ascii="Verdana" w:hAnsi="Verdana"/>
          <w:color w:val="000000"/>
          <w:sz w:val="20"/>
          <w:szCs w:val="20"/>
        </w:rPr>
        <w:t>Constatado o atendimento às exigências de habilitação fixadas no Edital, o licitante será declarado vencedor.</w:t>
      </w:r>
    </w:p>
    <w:p>
      <w:pPr>
        <w:pStyle w:val="ListParagraph"/>
        <w:tabs>
          <w:tab w:val="clear" w:pos="708"/>
          <w:tab w:val="left" w:pos="517" w:leader="none"/>
        </w:tabs>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lineRule="auto" w:line="276" w:before="57" w:after="57"/>
        <w:ind w:hanging="0" w:left="0"/>
        <w:contextualSpacing w:val="false"/>
        <w:jc w:val="both"/>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lineRule="auto" w:line="276" w:before="57" w:after="57"/>
        <w:ind w:hanging="0" w:left="0"/>
        <w:jc w:val="both"/>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lineRule="auto" w:line="276" w:before="57" w:after="57"/>
        <w:ind w:hanging="0" w:left="0"/>
        <w:contextualSpacing w:val="false"/>
        <w:jc w:val="both"/>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lineRule="auto" w:line="276" w:before="57" w:after="57"/>
        <w:ind w:hanging="0" w:left="0"/>
        <w:jc w:val="both"/>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lineRule="auto" w:line="276" w:before="57" w:after="57"/>
        <w:ind w:hanging="0" w:left="0"/>
        <w:jc w:val="both"/>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lineRule="auto" w:line="276" w:before="57" w:after="57"/>
        <w:ind w:hanging="0" w:left="0"/>
        <w:contextualSpacing w:val="false"/>
        <w:jc w:val="both"/>
        <w:rPr>
          <w:rFonts w:cs="Arial"/>
          <w:color w:val="000000"/>
        </w:rPr>
      </w:pPr>
      <w:r>
        <w:rPr>
          <w:rFonts w:cs="Arial"/>
          <w:color w:val="000000"/>
        </w:rPr>
      </w:r>
    </w:p>
    <w:p>
      <w:pPr>
        <w:pStyle w:val="Nivel01"/>
        <w:numPr>
          <w:ilvl w:val="0"/>
          <w:numId w:val="2"/>
        </w:numPr>
        <w:spacing w:lineRule="auto" w:line="276" w:before="57" w:after="57"/>
        <w:ind w:hanging="0" w:left="0"/>
        <w:rPr/>
      </w:pPr>
      <w:r>
        <w:rPr>
          <w:rFonts w:cs="Arial" w:ascii="Verdana" w:hAnsi="Verdana"/>
          <w:lang w:eastAsia="en-US"/>
        </w:rPr>
        <w:t>DOS RECURSOS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lineRule="auto" w:line="276" w:before="57" w:after="57"/>
        <w:ind w:hanging="0" w:left="0"/>
        <w:jc w:val="both"/>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lineRule="auto" w:line="276"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Os autos do processo permanecerão com vista franqueada aos interessados, no endereço constante neste Edital.</w:t>
      </w:r>
    </w:p>
    <w:p>
      <w:pPr>
        <w:pStyle w:val="ListParagraph"/>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lineRule="auto" w:line="276" w:before="57" w:after="57"/>
        <w:ind w:hanging="0" w:left="0"/>
        <w:rPr/>
      </w:pPr>
      <w:r>
        <w:rPr>
          <w:rFonts w:cs="Arial" w:ascii="Verdana" w:hAnsi="Verdana"/>
          <w:lang w:eastAsia="en-US"/>
        </w:rPr>
        <w:t>DA REABERTURA DA SESSÃO PÚBLICA</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lineRule="auto" w:line="276" w:before="57" w:after="57"/>
        <w:ind w:hanging="0" w:left="0"/>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lineRule="auto" w:line="276" w:before="57" w:after="57"/>
        <w:ind w:hanging="0" w:left="0"/>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spacing w:lineRule="auto" w:line="276" w:before="57" w:after="57"/>
        <w:rPr>
          <w:rFonts w:ascii="Verdana" w:hAnsi="Verdana" w:cs="Arial"/>
          <w:sz w:val="20"/>
          <w:szCs w:val="20"/>
        </w:rPr>
      </w:pPr>
      <w:r>
        <w:rPr>
          <w:rFonts w:cs="Arial" w:ascii="Verdana" w:hAnsi="Verdana"/>
          <w:sz w:val="20"/>
          <w:szCs w:val="20"/>
        </w:rPr>
      </w:r>
    </w:p>
    <w:p>
      <w:pPr>
        <w:pStyle w:val="Nivel01"/>
        <w:numPr>
          <w:ilvl w:val="0"/>
          <w:numId w:val="2"/>
        </w:numPr>
        <w:spacing w:lineRule="auto" w:line="276" w:before="57" w:after="57"/>
        <w:ind w:hanging="0" w:left="0"/>
        <w:rPr/>
      </w:pPr>
      <w:r>
        <w:rPr>
          <w:rFonts w:cs="Arial" w:ascii="Verdana" w:hAnsi="Verdana"/>
        </w:rPr>
        <w:t xml:space="preserve">DA ADJUDICAÇÃO E HOMOLOGAÇÃO </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lineRule="auto" w:line="276" w:before="57" w:after="57"/>
        <w:ind w:hanging="0" w:left="0"/>
        <w:contextualSpacing w:val="false"/>
        <w:jc w:val="both"/>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lineRule="auto" w:line="276" w:before="57" w:after="57"/>
        <w:ind w:hanging="0" w:left="0"/>
        <w:rPr/>
      </w:pPr>
      <w:r>
        <w:rPr>
          <w:rFonts w:cs="Arial" w:ascii="Verdana" w:hAnsi="Verdana"/>
          <w:color w:val="auto"/>
        </w:rPr>
        <w:t xml:space="preserve">DA GARANTIA DE EXECUÇÃO </w:t>
      </w:r>
    </w:p>
    <w:p>
      <w:pPr>
        <w:pStyle w:val="ListParagraph"/>
        <w:numPr>
          <w:ilvl w:val="1"/>
          <w:numId w:val="2"/>
        </w:numPr>
        <w:spacing w:lineRule="auto" w:line="276" w:before="57" w:after="57"/>
        <w:ind w:hanging="0" w:left="0"/>
        <w:contextualSpacing w:val="false"/>
        <w:jc w:val="both"/>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120" w:leader="none"/>
          <w:tab w:val="left" w:pos="850" w:leader="none"/>
        </w:tabs>
        <w:spacing w:lineRule="auto" w:line="276" w:before="57" w:after="57"/>
        <w:ind w:hanging="0" w:left="0"/>
        <w:contextualSpacing w:val="false"/>
        <w:jc w:val="both"/>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lineRule="auto" w:line="276" w:before="57" w:after="57"/>
        <w:ind w:hanging="0" w:left="0"/>
        <w:contextualSpacing w:val="false"/>
        <w:jc w:val="both"/>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lineRule="auto" w:line="276" w:before="57" w:after="57"/>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b/>
          <w:bCs/>
          <w:sz w:val="20"/>
          <w:szCs w:val="20"/>
        </w:rPr>
        <w:t>15 DA ATA DE REGISTRO DE PREÇOS</w:t>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120" w:leader="none"/>
          <w:tab w:val="left" w:pos="850" w:leader="none"/>
        </w:tabs>
        <w:spacing w:lineRule="auto" w:line="276" w:before="57" w:after="57"/>
        <w:ind w:hanging="0" w:left="0"/>
        <w:contextualSpacing w:val="false"/>
        <w:jc w:val="both"/>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lineRule="auto" w:line="276" w:before="57" w:after="57"/>
        <w:ind w:hanging="0" w:left="0"/>
        <w:contextualSpacing w:val="false"/>
        <w:jc w:val="both"/>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before="57" w:after="57"/>
        <w:ind w:hanging="0" w:left="0"/>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lineRule="auto" w:line="276" w:before="57" w:after="57"/>
        <w:ind w:hanging="0" w:left="0"/>
        <w:contextualSpacing w:val="false"/>
        <w:jc w:val="both"/>
        <w:rPr>
          <w:rFonts w:ascii="Verdana" w:hAnsi="Verdana"/>
          <w:bCs/>
          <w:sz w:val="20"/>
          <w:szCs w:val="20"/>
        </w:rPr>
      </w:pPr>
      <w:r>
        <w:rPr>
          <w:rFonts w:ascii="Verdana" w:hAnsi="Verdana"/>
          <w:bCs/>
          <w:sz w:val="20"/>
          <w:szCs w:val="20"/>
        </w:rPr>
      </w:r>
    </w:p>
    <w:p>
      <w:pPr>
        <w:pStyle w:val="Nivel01"/>
        <w:spacing w:lineRule="auto" w:line="276" w:before="57" w:after="57"/>
        <w:rPr/>
      </w:pPr>
      <w:r>
        <w:rPr>
          <w:rFonts w:cs="Arial" w:ascii="Verdana" w:hAnsi="Verdana"/>
        </w:rPr>
        <w:t>16. DO REAJUSTAMENTO EM SENTIDO GERAL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17. DA ACEITAÇÃO DO OBJETO E DA FISCALIZAÇÃO</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lang w:eastAsia="en-US"/>
        </w:rPr>
        <w:t>18. DAS OBRIGAÇÕES DA CONTRATANTE E DA CONTRATADA</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Tahoma" w:ascii="Verdana" w:hAnsi="Verdana"/>
          <w:color w:val="auto"/>
        </w:rPr>
        <w:t>19</w:t>
      </w:r>
      <w:r>
        <w:rPr>
          <w:rFonts w:cs="Arial" w:ascii="Verdana" w:hAnsi="Verdana"/>
        </w:rPr>
        <w:t>. DO PAGAMENTO</w:t>
      </w:r>
    </w:p>
    <w:p>
      <w:pPr>
        <w:pStyle w:val="ListParagraph"/>
        <w:spacing w:lineRule="auto" w:line="276" w:before="57" w:after="57"/>
        <w:ind w:hanging="0" w:left="0"/>
        <w:contextualSpacing w:val="false"/>
        <w:jc w:val="both"/>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20. DAS SANÇÕES ADMINISTRATIVAS.</w:t>
      </w:r>
    </w:p>
    <w:p>
      <w:pPr>
        <w:pStyle w:val="ListParagraph"/>
        <w:spacing w:lineRule="auto" w:line="276" w:before="57" w:after="57"/>
        <w:ind w:hanging="0" w:left="0"/>
        <w:contextualSpacing w:val="false"/>
        <w:jc w:val="both"/>
        <w:rPr/>
      </w:pPr>
      <w:r>
        <w:rPr>
          <w:rFonts w:cs="Arial" w:ascii="Verdana" w:hAnsi="Verdana"/>
          <w:sz w:val="20"/>
          <w:szCs w:val="20"/>
          <w:shd w:fill="FFFFFF" w:val="clear"/>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20.1.1 D</w:t>
      </w:r>
      <w:bookmarkStart w:id="12"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2"/>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 xml:space="preserve">20.1.2 </w:t>
      </w:r>
      <w:bookmarkStart w:id="13" w:name="_Ref114668108"/>
      <w:r>
        <w:rPr>
          <w:rFonts w:cs="Arial" w:ascii="Verdana" w:hAnsi="Verdana"/>
          <w:sz w:val="20"/>
          <w:szCs w:val="20"/>
          <w:shd w:fill="FFFFFF" w:val="clear"/>
        </w:rPr>
        <w:t>Salvo em decorrência de fato superveniente devidamente justificado, não mantiver a proposta em especial quando:</w:t>
      </w:r>
      <w:bookmarkEnd w:id="13"/>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lineRule="auto" w:line="276" w:before="57" w:after="57"/>
        <w:jc w:val="both"/>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lineRule="auto" w:line="276" w:before="57" w:after="57"/>
        <w:jc w:val="both"/>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lineRule="auto" w:line="276" w:before="57" w:after="57"/>
        <w:jc w:val="both"/>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pPr>
        <w:pStyle w:val="Normal"/>
        <w:spacing w:lineRule="auto" w:line="276" w:before="57" w:after="57"/>
        <w:jc w:val="both"/>
        <w:rPr/>
      </w:pPr>
      <w:r>
        <w:rPr>
          <w:rFonts w:ascii="Verdana" w:hAnsi="Verdana"/>
          <w:sz w:val="20"/>
          <w:szCs w:val="20"/>
        </w:rPr>
        <w:t>20.1.5 F</w:t>
      </w:r>
      <w:bookmarkStart w:id="15" w:name="_Ref114668245"/>
      <w:r>
        <w:rPr>
          <w:rFonts w:ascii="Verdana" w:hAnsi="Verdana"/>
          <w:sz w:val="20"/>
          <w:szCs w:val="20"/>
        </w:rPr>
        <w:t>raudar a licitação</w:t>
      </w:r>
      <w:bookmarkEnd w:id="15"/>
    </w:p>
    <w:p>
      <w:pPr>
        <w:pStyle w:val="Normal"/>
        <w:spacing w:lineRule="auto" w:line="276" w:before="57" w:after="57"/>
        <w:jc w:val="both"/>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pPr>
        <w:pStyle w:val="Normal"/>
        <w:spacing w:lineRule="auto" w:line="276" w:before="57" w:after="57"/>
        <w:jc w:val="both"/>
        <w:rPr/>
      </w:pPr>
      <w:r>
        <w:rPr>
          <w:rFonts w:ascii="Verdana" w:hAnsi="Verdana"/>
          <w:sz w:val="20"/>
          <w:szCs w:val="20"/>
        </w:rPr>
        <w:t>20.1.6.1 Agir em conluio ou em desconformidade com a lei;</w:t>
      </w:r>
    </w:p>
    <w:p>
      <w:pPr>
        <w:pStyle w:val="Normal"/>
        <w:spacing w:lineRule="auto" w:line="276" w:before="57" w:after="57"/>
        <w:jc w:val="both"/>
        <w:rPr/>
      </w:pPr>
      <w:r>
        <w:rPr>
          <w:rFonts w:ascii="Verdana" w:hAnsi="Verdana"/>
          <w:sz w:val="20"/>
          <w:szCs w:val="20"/>
        </w:rPr>
        <w:t>20.1.6.2 Induzir deliberadamente a erro no julgamento;</w:t>
      </w:r>
    </w:p>
    <w:p>
      <w:pPr>
        <w:pStyle w:val="Normal"/>
        <w:spacing w:lineRule="auto" w:line="276" w:before="57" w:after="57"/>
        <w:jc w:val="both"/>
        <w:rPr/>
      </w:pPr>
      <w:r>
        <w:rPr>
          <w:rFonts w:ascii="Verdana" w:hAnsi="Verdana"/>
          <w:sz w:val="20"/>
          <w:szCs w:val="20"/>
        </w:rPr>
        <w:t>20.1.6.3 Apresentar amostra falsificada ou deteriorada;</w:t>
      </w:r>
    </w:p>
    <w:p>
      <w:pPr>
        <w:pStyle w:val="Normal"/>
        <w:spacing w:lineRule="auto" w:line="276" w:before="57" w:after="57"/>
        <w:jc w:val="both"/>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pPr>
        <w:pStyle w:val="Normal"/>
        <w:spacing w:lineRule="auto" w:line="276" w:before="57" w:after="57"/>
        <w:jc w:val="both"/>
        <w:rPr/>
      </w:pPr>
      <w:r>
        <w:rPr>
          <w:rFonts w:ascii="Verdana" w:hAnsi="Verdana"/>
          <w:sz w:val="20"/>
          <w:szCs w:val="20"/>
        </w:rPr>
        <w:t>20.1.8 P</w:t>
      </w:r>
      <w:bookmarkStart w:id="18" w:name="_Ref114668252"/>
      <w:r>
        <w:rPr>
          <w:rFonts w:ascii="Verdana" w:hAnsi="Verdana"/>
          <w:sz w:val="20"/>
          <w:szCs w:val="20"/>
        </w:rPr>
        <w:t xml:space="preserve">raticar ato lesivo previsto no </w:t>
      </w:r>
      <w:r>
        <w:fldChar w:fldCharType="begin"/>
      </w:r>
      <w:r>
        <w:rPr>
          <w:rStyle w:val="ListLabel296"/>
          <w:sz w:val="20"/>
          <w:szCs w:val="20"/>
          <w:rFonts w:ascii="Verdana" w:hAnsi="Verdana"/>
          <w:color w:val="000000"/>
        </w:rPr>
        <w:instrText xml:space="preserve"> HYPERLINK "https://www.planalto.gov.br/ccivil_03/_ato2011-2014/2013/lei/l12846.htm" \l "art5"</w:instrText>
      </w:r>
      <w:r>
        <w:rPr>
          <w:rStyle w:val="ListLabel296"/>
          <w:sz w:val="20"/>
          <w:szCs w:val="20"/>
          <w:rFonts w:ascii="Verdana" w:hAnsi="Verdana"/>
          <w:color w:val="000000"/>
        </w:rPr>
        <w:fldChar w:fldCharType="separate"/>
      </w:r>
      <w:r>
        <w:rPr>
          <w:rStyle w:val="ListLabel296"/>
          <w:rFonts w:ascii="Verdana" w:hAnsi="Verdana"/>
          <w:color w:val="000000"/>
          <w:sz w:val="20"/>
          <w:szCs w:val="20"/>
        </w:rPr>
        <w:t>art. 5º da Lei n.º 12.846, de 2013</w:t>
      </w:r>
      <w:r>
        <w:rPr>
          <w:rStyle w:val="ListLabel296"/>
          <w:sz w:val="20"/>
          <w:szCs w:val="20"/>
          <w:rFonts w:ascii="Verdana" w:hAnsi="Verdana"/>
          <w:color w:val="000000"/>
        </w:rPr>
        <w:fldChar w:fldCharType="end"/>
      </w:r>
      <w:r>
        <w:rPr>
          <w:rFonts w:ascii="Verdana" w:hAnsi="Verdana"/>
          <w:sz w:val="20"/>
          <w:szCs w:val="20"/>
        </w:rPr>
        <w:t>.</w:t>
      </w:r>
      <w:bookmarkEnd w:id="18"/>
    </w:p>
    <w:p>
      <w:pPr>
        <w:pStyle w:val="Nivel2"/>
        <w:numPr>
          <w:ilvl w:val="0"/>
          <w:numId w:val="0"/>
        </w:numPr>
        <w:spacing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before="57" w:after="57"/>
        <w:ind w:hanging="0" w:left="0"/>
        <w:rPr/>
      </w:pPr>
      <w:r>
        <w:rPr>
          <w:rFonts w:ascii="Verdana" w:hAnsi="Verdana"/>
        </w:rPr>
        <w:t>20.2.1 advertência;</w:t>
      </w:r>
    </w:p>
    <w:p>
      <w:pPr>
        <w:pStyle w:val="Nivel2"/>
        <w:numPr>
          <w:ilvl w:val="0"/>
          <w:numId w:val="0"/>
        </w:numPr>
        <w:spacing w:before="57" w:after="57"/>
        <w:ind w:hanging="0" w:left="0"/>
        <w:rPr/>
      </w:pPr>
      <w:r>
        <w:rPr>
          <w:rFonts w:ascii="Verdana" w:hAnsi="Verdana"/>
        </w:rPr>
        <w:t>20.2.2 multa;</w:t>
      </w:r>
    </w:p>
    <w:p>
      <w:pPr>
        <w:pStyle w:val="Nivel2"/>
        <w:numPr>
          <w:ilvl w:val="0"/>
          <w:numId w:val="0"/>
        </w:numPr>
        <w:spacing w:before="57" w:after="57"/>
        <w:ind w:hanging="0" w:left="0"/>
        <w:rPr/>
      </w:pPr>
      <w:r>
        <w:rPr>
          <w:rFonts w:ascii="Verdana" w:hAnsi="Verdana"/>
        </w:rPr>
        <w:t>20.2.3 impedimento de licitar e contratar e</w:t>
      </w:r>
    </w:p>
    <w:p>
      <w:pPr>
        <w:pStyle w:val="Nivel2"/>
        <w:numPr>
          <w:ilvl w:val="0"/>
          <w:numId w:val="0"/>
        </w:numPr>
        <w:spacing w:before="57" w:after="57"/>
        <w:ind w:hanging="0" w:left="0"/>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before="57" w:after="57"/>
        <w:ind w:hanging="0" w:left="0"/>
        <w:rPr/>
      </w:pPr>
      <w:r>
        <w:rPr>
          <w:rFonts w:ascii="Verdana" w:hAnsi="Verdana"/>
        </w:rPr>
        <w:t>20.3 Na aplicação das sanções serão considerados:</w:t>
      </w:r>
    </w:p>
    <w:p>
      <w:pPr>
        <w:pStyle w:val="Nivel2"/>
        <w:numPr>
          <w:ilvl w:val="0"/>
          <w:numId w:val="0"/>
        </w:numPr>
        <w:spacing w:before="57" w:after="57"/>
        <w:ind w:hanging="0" w:left="0"/>
        <w:rPr/>
      </w:pPr>
      <w:r>
        <w:rPr>
          <w:rFonts w:ascii="Verdana" w:hAnsi="Verdana"/>
        </w:rPr>
        <w:t>20.3.1 a natureza e a gravidade da infração cometida.</w:t>
      </w:r>
    </w:p>
    <w:p>
      <w:pPr>
        <w:pStyle w:val="Nivel2"/>
        <w:numPr>
          <w:ilvl w:val="0"/>
          <w:numId w:val="0"/>
        </w:numPr>
        <w:spacing w:before="57" w:after="57"/>
        <w:ind w:hanging="0" w:left="0"/>
        <w:rPr/>
      </w:pPr>
      <w:r>
        <w:rPr>
          <w:rFonts w:ascii="Verdana" w:hAnsi="Verdana"/>
        </w:rPr>
        <w:t>20.3.2 as peculiaridades do caso concreto</w:t>
      </w:r>
    </w:p>
    <w:p>
      <w:pPr>
        <w:pStyle w:val="Nivel2"/>
        <w:numPr>
          <w:ilvl w:val="0"/>
          <w:numId w:val="0"/>
        </w:numPr>
        <w:spacing w:before="57" w:after="57"/>
        <w:ind w:hanging="0" w:left="0"/>
        <w:rPr/>
      </w:pPr>
      <w:r>
        <w:rPr>
          <w:rFonts w:ascii="Verdana" w:hAnsi="Verdana"/>
        </w:rPr>
        <w:t>20.3.3 as circunstâncias agravantes ou atenuantes</w:t>
      </w:r>
    </w:p>
    <w:p>
      <w:pPr>
        <w:pStyle w:val="Nivel2"/>
        <w:numPr>
          <w:ilvl w:val="0"/>
          <w:numId w:val="0"/>
        </w:numPr>
        <w:spacing w:before="57" w:after="57"/>
        <w:ind w:hanging="0" w:left="0"/>
        <w:rPr/>
      </w:pPr>
      <w:r>
        <w:rPr>
          <w:rFonts w:ascii="Verdana" w:hAnsi="Verdana"/>
        </w:rPr>
        <w:t>20.3.4 os danos que dela provierem para a Administração Pública</w:t>
      </w:r>
    </w:p>
    <w:p>
      <w:pPr>
        <w:pStyle w:val="Nivel2"/>
        <w:numPr>
          <w:ilvl w:val="0"/>
          <w:numId w:val="0"/>
        </w:numPr>
        <w:spacing w:before="57" w:after="57"/>
        <w:ind w:hanging="0" w:left="0"/>
        <w:rPr/>
      </w:pPr>
      <w:r>
        <w:rPr>
          <w:rFonts w:ascii="Verdana" w:hAnsi="Verdana"/>
        </w:rPr>
        <w:t>20.3.5 a implantação ou o aperfeiçoamento de programa de integridade, conforme normas e orientações dos órgãos de controle.</w:t>
      </w:r>
    </w:p>
    <w:p>
      <w:pPr>
        <w:pStyle w:val="Nivel2"/>
        <w:numPr>
          <w:ilvl w:val="0"/>
          <w:numId w:val="0"/>
        </w:numPr>
        <w:spacing w:before="57" w:after="57"/>
        <w:ind w:hanging="0" w:left="0"/>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before="57" w:after="57"/>
        <w:ind w:hanging="0" w:left="0"/>
        <w:rPr/>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pPr>
        <w:pStyle w:val="Nivel2"/>
        <w:numPr>
          <w:ilvl w:val="0"/>
          <w:numId w:val="0"/>
        </w:numPr>
        <w:spacing w:before="57" w:after="57"/>
        <w:ind w:hanging="0" w:left="0"/>
        <w:rPr/>
      </w:pPr>
      <w:r>
        <w:rPr>
          <w:rFonts w:ascii="Verdana" w:hAnsi="Verdana"/>
        </w:rPr>
        <w:t>20.4.2 Para as infrações previstas nos itens 20.1.4, 20.1.5, 20.1.6, 20.1.7 e 20.1.8, a multa será de 15% do valor do contrato licitado.</w:t>
      </w:r>
    </w:p>
    <w:p>
      <w:pPr>
        <w:pStyle w:val="Nivel2"/>
        <w:numPr>
          <w:ilvl w:val="0"/>
          <w:numId w:val="0"/>
        </w:numPr>
        <w:spacing w:before="57" w:after="57"/>
        <w:ind w:hanging="0" w:left="0"/>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before="57" w:after="57"/>
        <w:ind w:hanging="0" w:left="0"/>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before="57" w:after="57"/>
        <w:ind w:hanging="0" w:left="0"/>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297"/>
          <w:rFonts w:ascii="Verdana" w:hAnsi="Verdana"/>
          <w:color w:val="000000"/>
        </w:rPr>
        <w:instrText xml:space="preserve"> HYPERLINK "http://www.planalto.gov.br/ccivil_03/_ato2019-2022/2021/lei/L14133.htm" \l "art156%C2%A75"</w:instrText>
      </w:r>
      <w:r>
        <w:rPr>
          <w:rStyle w:val="ListLabel297"/>
          <w:rFonts w:ascii="Verdana" w:hAnsi="Verdana"/>
          <w:color w:val="000000"/>
        </w:rPr>
        <w:fldChar w:fldCharType="separate"/>
      </w:r>
      <w:r>
        <w:rPr>
          <w:rStyle w:val="ListLabel297"/>
          <w:rFonts w:ascii="Verdana" w:hAnsi="Verdana"/>
          <w:color w:val="000000"/>
        </w:rPr>
        <w:t>art. 156, §5º, da Lei n.º 14.133/2021</w:t>
      </w:r>
      <w:r>
        <w:rPr>
          <w:rStyle w:val="ListLabel297"/>
          <w:rFonts w:ascii="Verdana" w:hAnsi="Verdana"/>
          <w:color w:val="000000"/>
        </w:rPr>
        <w:fldChar w:fldCharType="end"/>
      </w:r>
      <w:r>
        <w:rPr>
          <w:rFonts w:ascii="Verdana" w:hAnsi="Verdana"/>
        </w:rPr>
        <w:t>.</w:t>
      </w:r>
    </w:p>
    <w:p>
      <w:pPr>
        <w:pStyle w:val="Nivel2"/>
        <w:numPr>
          <w:ilvl w:val="0"/>
          <w:numId w:val="0"/>
        </w:numPr>
        <w:spacing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297"/>
            <w:rFonts w:ascii="Verdana" w:hAnsi="Verdana"/>
            <w:color w:val="000000"/>
          </w:rPr>
          <w:t>art. 45, §4º da IN SEGES/ME n.º 73, de 2022</w:t>
        </w:r>
      </w:hyperlink>
      <w:r>
        <w:rPr>
          <w:rFonts w:ascii="Verdana" w:hAnsi="Verdana"/>
        </w:rPr>
        <w:t xml:space="preserve">. </w:t>
      </w:r>
    </w:p>
    <w:p>
      <w:pPr>
        <w:pStyle w:val="Nivel2"/>
        <w:numPr>
          <w:ilvl w:val="0"/>
          <w:numId w:val="0"/>
        </w:numPr>
        <w:spacing w:before="57" w:after="57"/>
        <w:ind w:hanging="0" w:left="0"/>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before="57" w:after="57"/>
        <w:ind w:hanging="0" w:left="0"/>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before="57" w:after="57"/>
        <w:ind w:hanging="0" w:left="0"/>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before="57" w:after="57"/>
        <w:ind w:hanging="0" w:left="0"/>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before="57" w:after="57"/>
        <w:ind w:hanging="0" w:left="0"/>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lineRule="auto" w:line="276" w:before="57" w:after="57"/>
        <w:ind w:hanging="0"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lineRule="auto" w:line="276" w:before="57" w:after="57"/>
        <w:rPr/>
      </w:pPr>
      <w:r>
        <w:rPr>
          <w:rFonts w:cs="Arial" w:ascii="Verdana" w:hAnsi="Verdana"/>
        </w:rPr>
        <w:t>21. DA IMPUGNAÇÃO AO EDITAL E DO PEDIDO DE ESCLARECIMENTO</w:t>
      </w:r>
    </w:p>
    <w:p>
      <w:pPr>
        <w:pStyle w:val="ListParagraph"/>
        <w:spacing w:lineRule="auto" w:line="276" w:before="57" w:after="57"/>
        <w:ind w:hanging="0" w:left="0"/>
        <w:contextualSpacing w:val="false"/>
        <w:jc w:val="both"/>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298"/>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lineRule="auto" w:line="276" w:before="57" w:after="57"/>
        <w:ind w:hanging="0" w:left="0"/>
        <w:contextualSpacing w:val="false"/>
        <w:jc w:val="both"/>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lineRule="auto" w:line="276" w:before="57" w:after="57"/>
        <w:ind w:hanging="0" w:left="0"/>
        <w:contextualSpacing w:val="false"/>
        <w:jc w:val="both"/>
        <w:rPr/>
      </w:pPr>
      <w:r>
        <w:rPr>
          <w:rFonts w:cs="Arial" w:ascii="Verdana" w:hAnsi="Verdana"/>
          <w:color w:val="000000"/>
          <w:sz w:val="20"/>
          <w:szCs w:val="20"/>
        </w:rPr>
        <w:t>21.4 Acolhida a impugnação, será definida e publicada nova data para a realização do certame.</w:t>
      </w:r>
    </w:p>
    <w:p>
      <w:pPr>
        <w:pStyle w:val="ListParagraph"/>
        <w:spacing w:lineRule="auto" w:line="276" w:before="57" w:after="57"/>
        <w:ind w:hanging="0" w:left="0"/>
        <w:contextualSpacing w:val="false"/>
        <w:jc w:val="both"/>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lineRule="auto" w:line="276" w:before="57" w:after="57"/>
        <w:ind w:hanging="0" w:left="0"/>
        <w:contextualSpacing w:val="false"/>
        <w:jc w:val="both"/>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lineRule="auto" w:line="276" w:before="57" w:after="57"/>
        <w:ind w:hanging="0" w:left="0"/>
        <w:contextualSpacing w:val="false"/>
        <w:jc w:val="both"/>
        <w:rPr/>
      </w:pPr>
      <w:r>
        <w:rPr>
          <w:rFonts w:cs="Arial" w:ascii="Verdana" w:hAnsi="Verdana"/>
          <w:color w:val="000000"/>
          <w:sz w:val="20"/>
          <w:szCs w:val="20"/>
        </w:rPr>
        <w:t>21.7 As impugnações e pedidos de esclarecimentos não suspendem os prazos previstos no certame.</w:t>
      </w:r>
    </w:p>
    <w:p>
      <w:pPr>
        <w:pStyle w:val="ListParagraph"/>
        <w:spacing w:lineRule="auto" w:line="276" w:before="57" w:after="57"/>
        <w:ind w:hanging="0" w:left="0"/>
        <w:contextualSpacing w:val="false"/>
        <w:jc w:val="both"/>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lineRule="auto" w:line="276" w:before="57" w:after="57"/>
        <w:ind w:hanging="0" w:left="0"/>
        <w:contextualSpacing w:val="false"/>
        <w:jc w:val="both"/>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lineRule="auto" w:line="276" w:before="57" w:after="57"/>
        <w:ind w:hanging="0" w:left="0"/>
        <w:contextualSpacing w:val="false"/>
        <w:jc w:val="both"/>
        <w:rPr>
          <w:rFonts w:ascii="Verdana" w:hAnsi="Verdana"/>
          <w:sz w:val="20"/>
          <w:szCs w:val="20"/>
        </w:rPr>
      </w:pPr>
      <w:r>
        <w:rPr>
          <w:rFonts w:ascii="Verdana" w:hAnsi="Verdana"/>
          <w:sz w:val="20"/>
          <w:szCs w:val="20"/>
        </w:rPr>
      </w:r>
    </w:p>
    <w:p>
      <w:pPr>
        <w:pStyle w:val="Nivel01"/>
        <w:spacing w:lineRule="auto" w:line="276" w:before="57" w:after="57"/>
        <w:rPr/>
      </w:pPr>
      <w:r>
        <w:rPr>
          <w:rFonts w:cs="Arial" w:ascii="Verdana" w:hAnsi="Verdana"/>
        </w:rPr>
        <w:t>22. DAS DISPOSIÇÕES GERAIS</w:t>
      </w:r>
    </w:p>
    <w:p>
      <w:pPr>
        <w:pStyle w:val="Normal"/>
        <w:spacing w:lineRule="auto" w:line="276" w:before="57" w:after="57"/>
        <w:jc w:val="both"/>
        <w:rPr/>
      </w:pPr>
      <w:r>
        <w:rPr>
          <w:rFonts w:cs="Arial" w:ascii="Verdana" w:hAnsi="Verdana"/>
          <w:color w:val="000000"/>
          <w:sz w:val="20"/>
          <w:szCs w:val="20"/>
        </w:rPr>
        <w:t>22.1 Da sessão pública do Pregão divulgar-se-á Ata no sistema eletrônico.</w:t>
      </w:r>
    </w:p>
    <w:p>
      <w:pPr>
        <w:pStyle w:val="Normal"/>
        <w:spacing w:lineRule="auto" w:line="276" w:before="57" w:after="57"/>
        <w:jc w:val="both"/>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lineRule="auto" w:line="276" w:before="57" w:after="57"/>
        <w:jc w:val="both"/>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lineRule="auto" w:line="276" w:before="57" w:after="57"/>
        <w:jc w:val="both"/>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lineRule="auto" w:line="276" w:before="57" w:after="57"/>
        <w:jc w:val="both"/>
        <w:rPr/>
      </w:pPr>
      <w:r>
        <w:rPr>
          <w:rFonts w:cs="Arial" w:ascii="Verdana" w:hAnsi="Verdana"/>
          <w:color w:val="000000"/>
          <w:sz w:val="20"/>
          <w:szCs w:val="20"/>
        </w:rPr>
        <w:t>22.5 A homologação do resultado desta licitação não implicará direito à contratação.</w:t>
      </w:r>
    </w:p>
    <w:p>
      <w:pPr>
        <w:pStyle w:val="Normal"/>
        <w:spacing w:lineRule="auto" w:line="276" w:before="57" w:after="57"/>
        <w:jc w:val="both"/>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lineRule="auto" w:line="276" w:before="57" w:after="57"/>
        <w:jc w:val="both"/>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lineRule="auto" w:line="276" w:before="57" w:after="57"/>
        <w:jc w:val="both"/>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lineRule="auto" w:line="276" w:before="57" w:after="57"/>
        <w:jc w:val="both"/>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lineRule="auto" w:line="276" w:before="57" w:after="57"/>
        <w:jc w:val="both"/>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lineRule="auto" w:line="276" w:before="57" w:after="57"/>
        <w:jc w:val="both"/>
        <w:rPr/>
      </w:pPr>
      <w:r>
        <w:rPr>
          <w:rFonts w:cs="Arial" w:ascii="Verdana" w:hAnsi="Verdana"/>
          <w:color w:val="000000"/>
          <w:sz w:val="20"/>
          <w:szCs w:val="20"/>
        </w:rPr>
        <w:t xml:space="preserve">22.11 O Edital está disponibilizado, na íntegra, nos endereços eletrônicos </w:t>
      </w:r>
      <w:r>
        <w:rPr>
          <w:rFonts w:cs="Arial" w:ascii="Verdana" w:hAnsi="Verdana"/>
          <w:b/>
          <w:bCs/>
          <w:sz w:val="20"/>
          <w:szCs w:val="20"/>
          <w:u w:val="single"/>
        </w:rPr>
        <w:t>http://</w:t>
      </w:r>
      <w:bookmarkStart w:id="21" w:name="_Hlk123138684_Copia_3"/>
      <w:r>
        <w:rPr>
          <w:rFonts w:cs="Arial" w:ascii="Verdana" w:hAnsi="Verdana"/>
          <w:b/>
          <w:bCs/>
          <w:color w:val="000000"/>
          <w:sz w:val="20"/>
          <w:szCs w:val="20"/>
          <w:u w:val="single"/>
        </w:rPr>
        <w:t>www.portaldecompraspublicas.com.br</w:t>
      </w:r>
      <w:bookmarkEnd w:id="21"/>
      <w:r>
        <w:rPr>
          <w:rFonts w:cs="Arial" w:ascii="Verdana" w:hAnsi="Verdana"/>
          <w:color w:val="000000"/>
          <w:sz w:val="20"/>
          <w:szCs w:val="20"/>
        </w:rPr>
        <w:t xml:space="preserve">, </w:t>
      </w:r>
      <w:hyperlink r:id="rId11">
        <w:r>
          <w:rPr>
            <w:rStyle w:val="Hyperlink"/>
            <w:rFonts w:cs="Arial" w:ascii="Verdana" w:hAnsi="Verdana"/>
            <w:b/>
            <w:bCs/>
            <w:color w:val="auto"/>
            <w:sz w:val="20"/>
            <w:szCs w:val="20"/>
          </w:rPr>
          <w:t>www.saogabriel.es.gov.br</w:t>
        </w:r>
      </w:hyperlink>
      <w:r>
        <w:rPr>
          <w:rFonts w:cs="Arial" w:ascii="Verdana" w:hAnsi="Verdana"/>
          <w:color w:val="000000"/>
          <w:sz w:val="20"/>
          <w:szCs w:val="20"/>
        </w:rPr>
        <w:t xml:space="preserve"> e tamb</w:t>
      </w:r>
      <w:r>
        <w:rPr>
          <w:rFonts w:ascii="Verdana" w:hAnsi="Verdana"/>
          <w:sz w:val="20"/>
          <w:szCs w:val="20"/>
        </w:rPr>
        <w:t xml:space="preserve">ém poderá obtido através do e-mail </w:t>
      </w:r>
      <w:hyperlink r:id="rId12">
        <w:r>
          <w:rPr>
            <w:rStyle w:val="ListLabel294"/>
            <w:rFonts w:ascii="Verdana" w:hAnsi="Verdana"/>
            <w:color w:val="000080"/>
            <w:sz w:val="20"/>
            <w:szCs w:val="20"/>
            <w:u w:val="single"/>
          </w:rPr>
          <w:t>licitacao@</w:t>
        </w:r>
      </w:hyperlink>
      <w:hyperlink r:id="rId13">
        <w:r>
          <w:rPr>
            <w:rStyle w:val="ListLabel294"/>
            <w:rFonts w:ascii="Verdana" w:hAnsi="Verdana"/>
            <w:color w:val="000080"/>
            <w:sz w:val="20"/>
            <w:szCs w:val="20"/>
            <w:u w:val="single"/>
          </w:rPr>
          <w:t>saogabriel</w:t>
        </w:r>
      </w:hyperlink>
      <w:hyperlink r:id="rId14">
        <w:r>
          <w:rPr>
            <w:rStyle w:val="ListLabel294"/>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pPr>
        <w:pStyle w:val="Normal"/>
        <w:spacing w:lineRule="auto" w:line="276" w:before="57" w:after="57"/>
        <w:jc w:val="both"/>
        <w:rPr/>
      </w:pPr>
      <w:r>
        <w:rPr>
          <w:rFonts w:cs="Arial" w:ascii="Verdana" w:hAnsi="Verdana"/>
          <w:color w:val="000000"/>
          <w:sz w:val="20"/>
          <w:szCs w:val="20"/>
        </w:rPr>
        <w:t>22.12 Integram este Edital, para todos os fins e efeitos, os seguintes anexos</w:t>
      </w:r>
    </w:p>
    <w:p>
      <w:pPr>
        <w:pStyle w:val="Normal"/>
        <w:spacing w:lineRule="auto" w:line="276" w:before="0" w:after="0"/>
        <w:jc w:val="both"/>
        <w:rPr/>
      </w:pPr>
      <w:r>
        <w:rPr>
          <w:rFonts w:cs="Arial" w:ascii="Verdana" w:hAnsi="Verdana"/>
          <w:color w:val="000000"/>
          <w:sz w:val="20"/>
          <w:szCs w:val="20"/>
        </w:rPr>
        <w:t>22.12.1 ANEXO I – Termo de Referência;</w:t>
      </w:r>
    </w:p>
    <w:p>
      <w:pPr>
        <w:pStyle w:val="Normal"/>
        <w:spacing w:lineRule="auto" w:line="276" w:before="0" w:after="0"/>
        <w:jc w:val="both"/>
        <w:rPr/>
      </w:pPr>
      <w:r>
        <w:rPr>
          <w:rFonts w:cs="Arial" w:ascii="Verdana" w:hAnsi="Verdana"/>
          <w:color w:val="000000"/>
          <w:sz w:val="20"/>
          <w:szCs w:val="20"/>
        </w:rPr>
        <w:t>22.12.2 ANEXO I-1 – Estudo Técnico Preliminar;</w:t>
      </w:r>
    </w:p>
    <w:p>
      <w:pPr>
        <w:pStyle w:val="Normal"/>
        <w:spacing w:lineRule="auto" w:line="276" w:before="0" w:after="0"/>
        <w:jc w:val="both"/>
        <w:rPr/>
      </w:pPr>
      <w:r>
        <w:rPr>
          <w:rFonts w:cs="Arial" w:ascii="Verdana" w:hAnsi="Verdana"/>
          <w:color w:val="000000"/>
          <w:sz w:val="20"/>
          <w:szCs w:val="20"/>
        </w:rPr>
        <w:t>22.12.2.1 ANEXO II – Modelo Orientativo de Proposta;</w:t>
      </w:r>
    </w:p>
    <w:p>
      <w:pPr>
        <w:pStyle w:val="Normal"/>
        <w:tabs>
          <w:tab w:val="clear" w:pos="708"/>
          <w:tab w:val="left" w:pos="800" w:leader="none"/>
        </w:tabs>
        <w:snapToGrid w:val="false"/>
        <w:spacing w:lineRule="auto" w:line="276" w:before="0" w:after="0"/>
        <w:jc w:val="both"/>
        <w:rPr/>
      </w:pPr>
      <w:r>
        <w:rPr>
          <w:rFonts w:cs="Arial" w:ascii="Verdana" w:hAnsi="Verdana"/>
          <w:color w:val="000000"/>
          <w:sz w:val="20"/>
          <w:szCs w:val="20"/>
        </w:rPr>
        <w:t>22.12.3 ANEXO III – Minuta de Ata de Registro de Preços.</w:t>
      </w:r>
    </w:p>
    <w:p>
      <w:pPr>
        <w:pStyle w:val="Normal"/>
        <w:keepNext w:val="true"/>
        <w:keepLines/>
        <w:numPr>
          <w:ilvl w:val="0"/>
          <w:numId w:val="0"/>
        </w:numPr>
        <w:tabs>
          <w:tab w:val="clear" w:pos="708"/>
          <w:tab w:val="left" w:pos="567" w:leader="none"/>
        </w:tabs>
        <w:spacing w:lineRule="auto" w:line="276"/>
        <w:ind w:hanging="0" w:left="360"/>
        <w:jc w:val="center"/>
        <w:outlineLvl w:val="0"/>
        <w:rPr>
          <w:sz w:val="20"/>
          <w:szCs w:val="20"/>
        </w:rPr>
      </w:pPr>
      <w:r>
        <w:rPr>
          <w:sz w:val="20"/>
          <w:szCs w:val="20"/>
        </w:rPr>
      </w:r>
    </w:p>
    <w:p>
      <w:pPr>
        <w:pStyle w:val="Normal"/>
        <w:numPr>
          <w:ilvl w:val="0"/>
          <w:numId w:val="0"/>
        </w:numPr>
        <w:tabs>
          <w:tab w:val="clear" w:pos="708"/>
          <w:tab w:val="left" w:pos="567" w:leader="none"/>
        </w:tabs>
        <w:spacing w:lineRule="auto" w:line="276"/>
        <w:ind w:hanging="0" w:left="360"/>
        <w:jc w:val="center"/>
        <w:outlineLvl w:val="0"/>
        <w:rPr>
          <w:sz w:val="20"/>
          <w:szCs w:val="20"/>
        </w:rPr>
      </w:pPr>
      <w:r>
        <w:rPr>
          <w:rFonts w:cs="Arial" w:ascii="Verdana" w:hAnsi="Verdana"/>
          <w:color w:val="000000"/>
          <w:sz w:val="20"/>
          <w:szCs w:val="20"/>
        </w:rPr>
        <w:t>São Gabriel da Palha/ES, 09 de abril de 2025.</w:t>
      </w:r>
    </w:p>
    <w:p>
      <w:pPr>
        <w:pStyle w:val="Normal"/>
        <w:tabs>
          <w:tab w:val="clear" w:pos="708"/>
          <w:tab w:val="left" w:pos="1440" w:leader="none"/>
        </w:tabs>
        <w:snapToGrid w:val="false"/>
        <w:spacing w:lineRule="auto" w:line="276"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120" w:after="120"/>
        <w:ind w:hanging="0" w:left="1638"/>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lineRule="auto" w:line="276" w:before="120" w:after="120"/>
        <w:ind w:hanging="0" w:left="1638"/>
        <w:jc w:val="both"/>
        <w:rPr>
          <w:rFonts w:ascii="Verdana" w:hAnsi="Verdana" w:cs="Arial"/>
          <w:sz w:val="20"/>
          <w:szCs w:val="20"/>
        </w:rPr>
      </w:pPr>
      <w:r>
        <w:rPr>
          <w:rFonts w:cs="Arial" w:ascii="Verdana" w:hAnsi="Verdana"/>
          <w:sz w:val="20"/>
          <w:szCs w:val="20"/>
        </w:rPr>
      </w:r>
    </w:p>
    <w:p>
      <w:pPr>
        <w:pStyle w:val="Normal"/>
        <w:spacing w:lineRule="auto" w:line="276"/>
        <w:jc w:val="center"/>
        <w:rPr>
          <w:rFonts w:ascii="Verdana" w:hAnsi="Verdana"/>
          <w:b/>
          <w:bCs/>
          <w:sz w:val="20"/>
          <w:szCs w:val="20"/>
        </w:rPr>
      </w:pPr>
      <w:r>
        <w:rPr>
          <w:rFonts w:cs="Arial" w:ascii="Verdana" w:hAnsi="Verdana"/>
          <w:b/>
          <w:bCs/>
          <w:sz w:val="20"/>
          <w:szCs w:val="20"/>
        </w:rPr>
        <w:t>JANE LISLIE MARTINELLI DOS SANTOS</w:t>
      </w:r>
    </w:p>
    <w:p>
      <w:pPr>
        <w:pStyle w:val="Normal"/>
        <w:spacing w:lineRule="auto" w:line="276"/>
        <w:jc w:val="center"/>
        <w:rPr>
          <w:sz w:val="20"/>
          <w:szCs w:val="20"/>
        </w:rPr>
      </w:pPr>
      <w:r>
        <w:rPr>
          <w:rFonts w:ascii="Verdana" w:hAnsi="Verdana"/>
          <w:b/>
          <w:bCs/>
          <w:sz w:val="20"/>
          <w:szCs w:val="20"/>
        </w:rPr>
        <w:t xml:space="preserve">Secretária Municipal de </w:t>
      </w:r>
      <w:bookmarkStart w:id="22" w:name="_GoBack3112"/>
      <w:bookmarkStart w:id="23" w:name="_GoBack3"/>
      <w:bookmarkStart w:id="24" w:name="_GoBack31121"/>
      <w:bookmarkStart w:id="25" w:name="_GoBack3111"/>
      <w:bookmarkStart w:id="26" w:name="_GoBack311"/>
      <w:bookmarkStart w:id="27" w:name="_GoBack112"/>
      <w:bookmarkStart w:id="28" w:name="_GoBack1112"/>
      <w:bookmarkStart w:id="29" w:name="_GoBack31"/>
      <w:bookmarkStart w:id="30" w:name="_GoBack11"/>
      <w:bookmarkStart w:id="31" w:name="_GoBack1111"/>
      <w:bookmarkEnd w:id="22"/>
      <w:bookmarkEnd w:id="23"/>
      <w:bookmarkEnd w:id="24"/>
      <w:bookmarkEnd w:id="25"/>
      <w:bookmarkEnd w:id="26"/>
      <w:bookmarkEnd w:id="27"/>
      <w:bookmarkEnd w:id="28"/>
      <w:bookmarkEnd w:id="29"/>
      <w:bookmarkEnd w:id="30"/>
      <w:bookmarkEnd w:id="31"/>
      <w:r>
        <w:rPr>
          <w:rFonts w:ascii="Verdana" w:hAnsi="Verdana"/>
          <w:b/>
          <w:bCs/>
          <w:sz w:val="20"/>
          <w:szCs w:val="20"/>
        </w:rPr>
        <w:t>Educação</w:t>
      </w:r>
    </w:p>
    <w:sectPr>
      <w:headerReference w:type="even" r:id="rId15"/>
      <w:headerReference w:type="default" r:id="rId16"/>
      <w:headerReference w:type="first" r:id="rId17"/>
      <w:footerReference w:type="even" r:id="rId18"/>
      <w:footerReference w:type="default" r:id="rId19"/>
      <w:footerReference w:type="first" r:id="rId20"/>
      <w:type w:val="nextPage"/>
      <w:pgSz w:w="11906" w:h="16838"/>
      <w:pgMar w:left="1367" w:right="872" w:gutter="0" w:header="517" w:top="1767" w:footer="152" w:bottom="1134"/>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sz w:val="16"/>
        <w:szCs w:val="16"/>
      </w:rPr>
    </w:pPr>
    <w:r>
      <w:rPr>
        <w:rFonts w:cs="Calibri" w:ascii="Verdana" w:hAnsi="Verdana"/>
        <w:b/>
        <w:bCs/>
        <w:sz w:val="16"/>
        <w:szCs w:val="16"/>
      </w:rPr>
      <w:t>Praça Vicente Glazar nº 159, Centro, São Gabriel da Palha, ES. CEP. 29.780-000.</w:t>
    </w:r>
  </w:p>
  <w:p>
    <w:pPr>
      <w:pStyle w:val="Header"/>
      <w:jc w:val="center"/>
      <w:rPr>
        <w:sz w:val="16"/>
        <w:szCs w:val="16"/>
      </w:rPr>
    </w:pPr>
    <w:r>
      <w:rPr>
        <w:rFonts w:cs="Times New Roman" w:ascii="Verdana" w:hAnsi="Verdana"/>
        <w:b/>
        <w:bCs/>
        <w:sz w:val="16"/>
        <w:szCs w:val="16"/>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9">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hanging="0" w:right="-1"/>
      <w:jc w:val="center"/>
      <w:outlineLvl w:val="1"/>
    </w:pPr>
    <w:rPr>
      <w:rFonts w:ascii="Times New Roman" w:hAnsi="Times New Roman" w:cs="Times New Roman"/>
      <w:b/>
      <w:color w:val="000000"/>
      <w:szCs w:val="20"/>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954F72"/>
      <w:u w:val="single"/>
    </w:rPr>
  </w:style>
  <w:style w:type="character" w:styleId="InternetLink">
    <w:name w:val="Internet Link"/>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sid w:val="002358ac"/>
    <w:rPr>
      <w:color w:val="000080"/>
      <w:u w:val="single"/>
    </w:rPr>
  </w:style>
  <w:style w:type="character" w:styleId="PageNumber">
    <w:name w:val="Page Number"/>
    <w:basedOn w:val="DefaultParagraphFont"/>
    <w:qFormat/>
    <w:rsid w:val="00f56865"/>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caption1" w:customStyle="1">
    <w:name w:val="caption1"/>
    <w:basedOn w:val="Normal"/>
    <w:qFormat/>
    <w:pPr>
      <w:suppressLineNumbers/>
      <w:spacing w:before="120" w:after="120"/>
    </w:pPr>
    <w:rPr>
      <w:rFonts w:cs="Arial"/>
      <w:i/>
      <w:iCs/>
    </w:rPr>
  </w:style>
  <w:style w:type="paragraph" w:styleId="caption11" w:customStyle="1">
    <w:name w:val="caption11"/>
    <w:basedOn w:val="Normal"/>
    <w:qFormat/>
    <w:pPr>
      <w:suppressLineNumbers/>
      <w:spacing w:before="120" w:after="120"/>
    </w:pPr>
    <w:rPr>
      <w:rFonts w:cs="Arial"/>
      <w:i/>
      <w:iCs/>
    </w:rPr>
  </w:style>
  <w:style w:type="paragraph" w:styleId="ListParagraph">
    <w:name w:val="List Paragraph"/>
    <w:basedOn w:val="Normal"/>
    <w:uiPriority w:val="34"/>
    <w:qFormat/>
    <w:pPr>
      <w:spacing w:before="0" w:after="0"/>
      <w:ind w:hanging="0"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name w:val="Cabeçalho e rodapé1"/>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hanging="0"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ecompraspublicas.com.br/" TargetMode="External"/><Relationship Id="rId4" Type="http://schemas.openxmlformats.org/officeDocument/2006/relationships/hyperlink" Target="http://www.portaldatransparencia.gov.br/ceis" TargetMode="External"/><Relationship Id="rId5" Type="http://schemas.openxmlformats.org/officeDocument/2006/relationships/hyperlink" Target="http://www.cnj.jus.br/improbidade_adm/consultar_requerido.php" TargetMode="External"/><Relationship Id="rId6" Type="http://schemas.openxmlformats.org/officeDocument/2006/relationships/hyperlink" Target="https://www.tcees.tc.br/portal-da-transparencia/consultas/lista-de" TargetMode="External"/><Relationship Id="rId7" Type="http://schemas.openxmlformats.org/officeDocument/2006/relationships/hyperlink" Target="https://certidoesapf.apps.tcu.gov.br/" TargetMode="External"/><Relationship Id="rId8" Type="http://schemas.openxmlformats.org/officeDocument/2006/relationships/hyperlink" Target="http://www.portaldoempreendedor.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http://www.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yperlink" Target="mailto:licitacao@saogabriel.es.gov.br" TargetMode="External"/><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header" Target="header3.xml"/><Relationship Id="rId18" Type="http://schemas.openxmlformats.org/officeDocument/2006/relationships/footer" Target="footer1.xml"/><Relationship Id="rId19" Type="http://schemas.openxmlformats.org/officeDocument/2006/relationships/footer" Target="footer2.xml"/><Relationship Id="rId20" Type="http://schemas.openxmlformats.org/officeDocument/2006/relationships/footer" Target="footer3.xml"/><Relationship Id="rId21" Type="http://schemas.openxmlformats.org/officeDocument/2006/relationships/numbering" Target="numbering.xml"/><Relationship Id="rId22" Type="http://schemas.openxmlformats.org/officeDocument/2006/relationships/fontTable" Target="fontTable.xml"/><Relationship Id="rId23" Type="http://schemas.openxmlformats.org/officeDocument/2006/relationships/settings" Target="settings.xml"/><Relationship Id="rId24" Type="http://schemas.openxmlformats.org/officeDocument/2006/relationships/theme" Target="theme/theme1.xml"/><Relationship Id="rId25"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3407</TotalTime>
  <Application>LibreOffice/24.2.6.2$Windows_X86_64 LibreOffice_project/ef66aa7e36a1bb8e65bfbc63aba53045a14d0871</Application>
  <AppVersion>15.0000</AppVersion>
  <Pages>18</Pages>
  <Words>8382</Words>
  <Characters>47478</Characters>
  <CharactersWithSpaces>55478</CharactersWithSpaces>
  <Paragraphs>314</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2024-05-29T14:00:00Z</dcterms:created>
  <dc:creator>Compras</dc:creator>
  <dc:description/>
  <dc:language>pt-BR</dc:language>
  <cp:lastModifiedBy/>
  <cp:lastPrinted>2025-04-09T13:55:33Z</cp:lastPrinted>
  <dcterms:modified xsi:type="dcterms:W3CDTF">2025-04-24T16:42:17Z</dcterms:modified>
  <cp:revision>181</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